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86.0" w:type="dxa"/>
        <w:jc w:val="left"/>
        <w:tblInd w:w="-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69"/>
        <w:gridCol w:w="1817"/>
        <w:tblGridChange w:id="0">
          <w:tblGrid>
            <w:gridCol w:w="7869"/>
            <w:gridCol w:w="1817"/>
          </w:tblGrid>
        </w:tblGridChange>
      </w:tblGrid>
      <w:tr>
        <w:trPr>
          <w:cantSplit w:val="0"/>
          <w:trHeight w:val="56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SEÇÃO DE ENGENHARIA DE SEGURANÇA E MEDICINA DO TRABALHO</w:t>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SANTOS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SANTOS / SÃO PAULO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r w:rsidDel="00000000" w:rsidR="00000000" w:rsidRPr="00000000">
        <w:br w:type="page"/>
      </w:r>
      <w:r w:rsidDel="00000000" w:rsidR="00000000" w:rsidRPr="00000000">
        <w:rPr>
          <w:rtl w:val="0"/>
        </w:rPr>
      </w:r>
    </w:p>
    <w:p w:rsidR="00000000" w:rsidDel="00000000" w:rsidP="00000000" w:rsidRDefault="00000000" w:rsidRPr="00000000" w14:paraId="00000019">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Índice</w:t>
      </w:r>
    </w:p>
    <w:sdt>
      <w:sdtPr>
        <w:docPartObj>
          <w:docPartGallery w:val="Table of Contents"/>
          <w:docPartUnique w:val="1"/>
        </w:docPartObj>
      </w:sdtPr>
      <w:sdtContent>
        <w:p w:rsidR="00000000" w:rsidDel="00000000" w:rsidP="00000000" w:rsidRDefault="00000000" w:rsidRPr="00000000" w14:paraId="0000001A">
          <w:pPr>
            <w:numPr>
              <w:ilvl w:val="0"/>
              <w:numId w:val="9"/>
            </w:numPr>
            <w:tabs>
              <w:tab w:val="right" w:pos="9637.511811023622"/>
            </w:tabs>
            <w:spacing w:before="80" w:line="240" w:lineRule="auto"/>
            <w:ind w:left="0" w:firstLine="0"/>
            <w:rPr>
              <w:rFonts w:ascii="Arial" w:cs="Arial" w:eastAsia="Arial" w:hAnsi="Arial"/>
              <w:sz w:val="22"/>
              <w:szCs w:val="22"/>
            </w:rPr>
          </w:pPr>
          <w:r w:rsidDel="00000000" w:rsidR="00000000" w:rsidRPr="00000000">
            <w:fldChar w:fldCharType="begin"/>
            <w:instrText xml:space="preserve"> TOC \h \u \z </w:instrText>
            <w:fldChar w:fldCharType="separate"/>
          </w:r>
          <w:hyperlink w:anchor="_65tmbwz00xdr">
            <w:r w:rsidDel="00000000" w:rsidR="00000000" w:rsidRPr="00000000">
              <w:rPr>
                <w:rFonts w:ascii="Arial" w:cs="Arial" w:eastAsia="Arial" w:hAnsi="Arial"/>
                <w:b w:val="1"/>
                <w:sz w:val="22"/>
                <w:szCs w:val="22"/>
                <w:rtl w:val="0"/>
              </w:rPr>
              <w:t xml:space="preserve">1 IDENTIFICAÇÃO DO ESTABELECIMENTO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_65tmbwz00xdr \h </w:instrText>
            <w:fldChar w:fldCharType="separate"/>
          </w:r>
          <w:r w:rsidDel="00000000" w:rsidR="00000000" w:rsidRPr="00000000">
            <w:rPr>
              <w:rFonts w:ascii="Arial" w:cs="Arial" w:eastAsia="Arial" w:hAnsi="Arial"/>
              <w:b w:val="1"/>
              <w:sz w:val="22"/>
              <w:szCs w:val="22"/>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numPr>
              <w:ilvl w:val="0"/>
              <w:numId w:val="9"/>
            </w:numPr>
            <w:tabs>
              <w:tab w:val="right" w:pos="9637.511811023622"/>
            </w:tabs>
            <w:spacing w:before="200" w:line="240" w:lineRule="auto"/>
            <w:ind w:left="0" w:firstLine="0"/>
            <w:rPr>
              <w:rFonts w:ascii="Arial" w:cs="Arial" w:eastAsia="Arial" w:hAnsi="Arial"/>
              <w:sz w:val="22"/>
              <w:szCs w:val="22"/>
            </w:rPr>
          </w:pPr>
          <w:hyperlink w:anchor="_v2ewss20x7z7">
            <w:r w:rsidDel="00000000" w:rsidR="00000000" w:rsidRPr="00000000">
              <w:rPr>
                <w:rFonts w:ascii="Arial" w:cs="Arial" w:eastAsia="Arial" w:hAnsi="Arial"/>
                <w:b w:val="1"/>
                <w:sz w:val="22"/>
                <w:szCs w:val="22"/>
                <w:rtl w:val="0"/>
              </w:rPr>
              <w:t xml:space="preserve">2 MISSÃO, VISÃO E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_v2ewss20x7z7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numPr>
              <w:ilvl w:val="0"/>
              <w:numId w:val="9"/>
            </w:numPr>
            <w:tabs>
              <w:tab w:val="right" w:pos="9637.511811023622"/>
            </w:tabs>
            <w:spacing w:before="60" w:line="240" w:lineRule="auto"/>
            <w:ind w:left="360" w:firstLine="0"/>
            <w:rPr>
              <w:rFonts w:ascii="Arial" w:cs="Arial" w:eastAsia="Arial" w:hAnsi="Arial"/>
              <w:sz w:val="22"/>
              <w:szCs w:val="22"/>
            </w:rPr>
          </w:pPr>
          <w:hyperlink w:anchor="_30j0zll">
            <w:r w:rsidDel="00000000" w:rsidR="00000000" w:rsidRPr="00000000">
              <w:rPr>
                <w:rFonts w:ascii="Arial" w:cs="Arial" w:eastAsia="Arial" w:hAnsi="Arial"/>
                <w:sz w:val="22"/>
                <w:szCs w:val="22"/>
                <w:rtl w:val="0"/>
              </w:rPr>
              <w:t xml:space="preserve">2.1 MISSÃO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numPr>
              <w:ilvl w:val="0"/>
              <w:numId w:val="9"/>
            </w:numPr>
            <w:tabs>
              <w:tab w:val="right" w:pos="9637.511811023622"/>
            </w:tabs>
            <w:spacing w:before="60" w:line="240" w:lineRule="auto"/>
            <w:ind w:left="360" w:firstLine="0"/>
            <w:rPr>
              <w:rFonts w:ascii="Arial" w:cs="Arial" w:eastAsia="Arial" w:hAnsi="Arial"/>
              <w:sz w:val="22"/>
              <w:szCs w:val="22"/>
            </w:rPr>
          </w:pPr>
          <w:hyperlink w:anchor="_1fob9te">
            <w:r w:rsidDel="00000000" w:rsidR="00000000" w:rsidRPr="00000000">
              <w:rPr>
                <w:rFonts w:ascii="Arial" w:cs="Arial" w:eastAsia="Arial" w:hAnsi="Arial"/>
                <w:sz w:val="22"/>
                <w:szCs w:val="22"/>
                <w:rtl w:val="0"/>
              </w:rPr>
              <w:t xml:space="preserve">2.2 VISÃO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numPr>
              <w:ilvl w:val="0"/>
              <w:numId w:val="9"/>
            </w:numPr>
            <w:tabs>
              <w:tab w:val="right" w:pos="9637.511811023622"/>
            </w:tabs>
            <w:spacing w:before="60" w:line="240" w:lineRule="auto"/>
            <w:ind w:left="360" w:firstLine="0"/>
            <w:rPr>
              <w:rFonts w:ascii="Arial" w:cs="Arial" w:eastAsia="Arial" w:hAnsi="Arial"/>
              <w:sz w:val="22"/>
              <w:szCs w:val="22"/>
            </w:rPr>
          </w:pPr>
          <w:hyperlink w:anchor="_3znysh7">
            <w:r w:rsidDel="00000000" w:rsidR="00000000" w:rsidRPr="00000000">
              <w:rPr>
                <w:rFonts w:ascii="Arial" w:cs="Arial" w:eastAsia="Arial" w:hAnsi="Arial"/>
                <w:sz w:val="22"/>
                <w:szCs w:val="22"/>
                <w:rtl w:val="0"/>
              </w:rPr>
              <w:t xml:space="preserve">2.3 VALORES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numPr>
              <w:ilvl w:val="0"/>
              <w:numId w:val="9"/>
            </w:numPr>
            <w:tabs>
              <w:tab w:val="right" w:pos="9637.511811023622"/>
            </w:tabs>
            <w:spacing w:before="200" w:line="240" w:lineRule="auto"/>
            <w:ind w:left="0" w:firstLine="0"/>
            <w:rPr>
              <w:rFonts w:ascii="Arial" w:cs="Arial" w:eastAsia="Arial" w:hAnsi="Arial"/>
              <w:sz w:val="22"/>
              <w:szCs w:val="22"/>
            </w:rPr>
          </w:pPr>
          <w:hyperlink w:anchor="_2et92p0">
            <w:r w:rsidDel="00000000" w:rsidR="00000000" w:rsidRPr="00000000">
              <w:rPr>
                <w:rFonts w:ascii="Arial" w:cs="Arial" w:eastAsia="Arial" w:hAnsi="Arial"/>
                <w:b w:val="1"/>
                <w:sz w:val="22"/>
                <w:szCs w:val="22"/>
                <w:rtl w:val="0"/>
              </w:rPr>
              <w:t xml:space="preserve">3 OBJETIVOS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numPr>
              <w:ilvl w:val="0"/>
              <w:numId w:val="9"/>
            </w:numPr>
            <w:tabs>
              <w:tab w:val="right" w:pos="9637.511811023622"/>
            </w:tabs>
            <w:spacing w:before="200" w:line="240" w:lineRule="auto"/>
            <w:ind w:left="0" w:firstLine="0"/>
            <w:rPr>
              <w:rFonts w:ascii="Arial" w:cs="Arial" w:eastAsia="Arial" w:hAnsi="Arial"/>
              <w:sz w:val="22"/>
              <w:szCs w:val="22"/>
            </w:rPr>
          </w:pPr>
          <w:hyperlink w:anchor="_tyjcwt">
            <w:r w:rsidDel="00000000" w:rsidR="00000000" w:rsidRPr="00000000">
              <w:rPr>
                <w:rFonts w:ascii="Arial" w:cs="Arial" w:eastAsia="Arial" w:hAnsi="Arial"/>
                <w:b w:val="1"/>
                <w:sz w:val="22"/>
                <w:szCs w:val="22"/>
                <w:rtl w:val="0"/>
              </w:rPr>
              <w:t xml:space="preserve">4 EXAMES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numPr>
              <w:ilvl w:val="0"/>
              <w:numId w:val="9"/>
            </w:numPr>
            <w:tabs>
              <w:tab w:val="right" w:pos="9637.511811023622"/>
            </w:tabs>
            <w:spacing w:before="60" w:line="240" w:lineRule="auto"/>
            <w:ind w:left="360" w:firstLine="0"/>
            <w:rPr>
              <w:rFonts w:ascii="Arial" w:cs="Arial" w:eastAsia="Arial" w:hAnsi="Arial"/>
              <w:sz w:val="22"/>
              <w:szCs w:val="22"/>
            </w:rPr>
          </w:pPr>
          <w:hyperlink w:anchor="_3dy6vkm">
            <w:r w:rsidDel="00000000" w:rsidR="00000000" w:rsidRPr="00000000">
              <w:rPr>
                <w:rFonts w:ascii="Arial" w:cs="Arial" w:eastAsia="Arial" w:hAnsi="Arial"/>
                <w:sz w:val="22"/>
                <w:szCs w:val="22"/>
                <w:rtl w:val="0"/>
              </w:rPr>
              <w:t xml:space="preserve">4.1 EXAME MÉDICO ADMISSIONAL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numPr>
              <w:ilvl w:val="0"/>
              <w:numId w:val="9"/>
            </w:numPr>
            <w:tabs>
              <w:tab w:val="right" w:pos="9637.511811023622"/>
            </w:tabs>
            <w:spacing w:before="60" w:line="240" w:lineRule="auto"/>
            <w:ind w:left="360" w:firstLine="0"/>
            <w:rPr>
              <w:rFonts w:ascii="Arial" w:cs="Arial" w:eastAsia="Arial" w:hAnsi="Arial"/>
              <w:sz w:val="22"/>
              <w:szCs w:val="22"/>
            </w:rPr>
          </w:pPr>
          <w:hyperlink w:anchor="_1t3h5sf">
            <w:r w:rsidDel="00000000" w:rsidR="00000000" w:rsidRPr="00000000">
              <w:rPr>
                <w:rFonts w:ascii="Arial" w:cs="Arial" w:eastAsia="Arial" w:hAnsi="Arial"/>
                <w:sz w:val="22"/>
                <w:szCs w:val="22"/>
                <w:rtl w:val="0"/>
              </w:rPr>
              <w:t xml:space="preserve">4.2 EXAME MÉDICO PERIÓDICO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numPr>
              <w:ilvl w:val="0"/>
              <w:numId w:val="9"/>
            </w:numPr>
            <w:tabs>
              <w:tab w:val="right" w:pos="9637.511811023622"/>
            </w:tabs>
            <w:spacing w:before="60" w:line="240" w:lineRule="auto"/>
            <w:ind w:left="360" w:firstLine="0"/>
            <w:rPr>
              <w:rFonts w:ascii="Arial" w:cs="Arial" w:eastAsia="Arial" w:hAnsi="Arial"/>
              <w:sz w:val="22"/>
              <w:szCs w:val="22"/>
            </w:rPr>
          </w:pPr>
          <w:hyperlink w:anchor="_4d34og8">
            <w:r w:rsidDel="00000000" w:rsidR="00000000" w:rsidRPr="00000000">
              <w:rPr>
                <w:rFonts w:ascii="Arial" w:cs="Arial" w:eastAsia="Arial" w:hAnsi="Arial"/>
                <w:sz w:val="22"/>
                <w:szCs w:val="22"/>
                <w:rtl w:val="0"/>
              </w:rPr>
              <w:t xml:space="preserve">4.3 EXAME DE MUDANÇA DE FUNÇÃO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numPr>
              <w:ilvl w:val="0"/>
              <w:numId w:val="9"/>
            </w:numPr>
            <w:tabs>
              <w:tab w:val="right" w:pos="9637.511811023622"/>
            </w:tabs>
            <w:spacing w:before="60" w:line="240" w:lineRule="auto"/>
            <w:ind w:left="360" w:firstLine="0"/>
            <w:rPr>
              <w:rFonts w:ascii="Arial" w:cs="Arial" w:eastAsia="Arial" w:hAnsi="Arial"/>
              <w:sz w:val="22"/>
              <w:szCs w:val="22"/>
            </w:rPr>
          </w:pPr>
          <w:hyperlink w:anchor="_2s8eyo1">
            <w:r w:rsidDel="00000000" w:rsidR="00000000" w:rsidRPr="00000000">
              <w:rPr>
                <w:rFonts w:ascii="Arial" w:cs="Arial" w:eastAsia="Arial" w:hAnsi="Arial"/>
                <w:sz w:val="22"/>
                <w:szCs w:val="22"/>
                <w:rtl w:val="0"/>
              </w:rPr>
              <w:t xml:space="preserve">4.4 EXAME DE RETORNO AO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numPr>
              <w:ilvl w:val="0"/>
              <w:numId w:val="9"/>
            </w:numPr>
            <w:tabs>
              <w:tab w:val="right" w:pos="9637.511811023622"/>
            </w:tabs>
            <w:spacing w:before="60" w:line="240" w:lineRule="auto"/>
            <w:ind w:left="360" w:firstLine="0"/>
            <w:rPr>
              <w:rFonts w:ascii="Arial" w:cs="Arial" w:eastAsia="Arial" w:hAnsi="Arial"/>
              <w:sz w:val="22"/>
              <w:szCs w:val="22"/>
            </w:rPr>
          </w:pPr>
          <w:hyperlink w:anchor="_17dp8vu">
            <w:r w:rsidDel="00000000" w:rsidR="00000000" w:rsidRPr="00000000">
              <w:rPr>
                <w:rFonts w:ascii="Arial" w:cs="Arial" w:eastAsia="Arial" w:hAnsi="Arial"/>
                <w:sz w:val="22"/>
                <w:szCs w:val="22"/>
                <w:rtl w:val="0"/>
              </w:rPr>
              <w:t xml:space="preserve">4.5 EXAME DEMISSIONAL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numPr>
              <w:ilvl w:val="0"/>
              <w:numId w:val="9"/>
            </w:numPr>
            <w:tabs>
              <w:tab w:val="right" w:pos="9637.511811023622"/>
            </w:tabs>
            <w:spacing w:before="60" w:line="240" w:lineRule="auto"/>
            <w:ind w:left="360" w:firstLine="0"/>
            <w:rPr>
              <w:rFonts w:ascii="Arial" w:cs="Arial" w:eastAsia="Arial" w:hAnsi="Arial"/>
              <w:sz w:val="22"/>
              <w:szCs w:val="22"/>
            </w:rPr>
          </w:pPr>
          <w:hyperlink w:anchor="_3rdcrjn">
            <w:r w:rsidDel="00000000" w:rsidR="00000000" w:rsidRPr="00000000">
              <w:rPr>
                <w:rFonts w:ascii="Arial" w:cs="Arial" w:eastAsia="Arial" w:hAnsi="Arial"/>
                <w:sz w:val="22"/>
                <w:szCs w:val="22"/>
                <w:rtl w:val="0"/>
              </w:rPr>
              <w:t xml:space="preserve">4.6 EXAMES COMPLEMENTARES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numPr>
              <w:ilvl w:val="0"/>
              <w:numId w:val="9"/>
            </w:numPr>
            <w:tabs>
              <w:tab w:val="right" w:pos="9637.511811023622"/>
            </w:tabs>
            <w:spacing w:before="60" w:line="240" w:lineRule="auto"/>
            <w:ind w:left="360" w:firstLine="0"/>
            <w:rPr>
              <w:rFonts w:ascii="Arial" w:cs="Arial" w:eastAsia="Arial" w:hAnsi="Arial"/>
              <w:sz w:val="22"/>
              <w:szCs w:val="22"/>
            </w:rPr>
          </w:pPr>
          <w:hyperlink w:anchor="_26in1rg">
            <w:r w:rsidDel="00000000" w:rsidR="00000000" w:rsidRPr="00000000">
              <w:rPr>
                <w:rFonts w:ascii="Arial" w:cs="Arial" w:eastAsia="Arial" w:hAnsi="Arial"/>
                <w:sz w:val="22"/>
                <w:szCs w:val="22"/>
                <w:rtl w:val="0"/>
              </w:rPr>
              <w:t xml:space="preserve">4.7 PROGRAMA DE MONITORAMENTO À SAÚDE</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numPr>
              <w:ilvl w:val="0"/>
              <w:numId w:val="9"/>
            </w:numPr>
            <w:tabs>
              <w:tab w:val="right" w:pos="9637.511811023622"/>
            </w:tabs>
            <w:spacing w:before="60" w:line="240" w:lineRule="auto"/>
            <w:ind w:left="360" w:firstLine="0"/>
            <w:rPr>
              <w:rFonts w:ascii="Arial" w:cs="Arial" w:eastAsia="Arial" w:hAnsi="Arial"/>
              <w:sz w:val="22"/>
              <w:szCs w:val="22"/>
            </w:rPr>
          </w:pPr>
          <w:hyperlink w:anchor="_lnxbz9">
            <w:r w:rsidDel="00000000" w:rsidR="00000000" w:rsidRPr="00000000">
              <w:rPr>
                <w:rFonts w:ascii="Arial" w:cs="Arial" w:eastAsia="Arial" w:hAnsi="Arial"/>
                <w:sz w:val="22"/>
                <w:szCs w:val="22"/>
                <w:rtl w:val="0"/>
              </w:rPr>
              <w:t xml:space="preserve">4.8 PRONTUÁRIO MÉDICO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numPr>
              <w:ilvl w:val="0"/>
              <w:numId w:val="9"/>
            </w:numPr>
            <w:tabs>
              <w:tab w:val="right" w:pos="9637.511811023622"/>
            </w:tabs>
            <w:spacing w:before="60" w:line="240" w:lineRule="auto"/>
            <w:ind w:left="360" w:firstLine="0"/>
            <w:rPr>
              <w:rFonts w:ascii="Arial" w:cs="Arial" w:eastAsia="Arial" w:hAnsi="Arial"/>
              <w:sz w:val="22"/>
              <w:szCs w:val="22"/>
            </w:rPr>
          </w:pPr>
          <w:hyperlink w:anchor="_35nkun2">
            <w:r w:rsidDel="00000000" w:rsidR="00000000" w:rsidRPr="00000000">
              <w:rPr>
                <w:rFonts w:ascii="Arial" w:cs="Arial" w:eastAsia="Arial" w:hAnsi="Arial"/>
                <w:sz w:val="22"/>
                <w:szCs w:val="22"/>
                <w:rtl w:val="0"/>
              </w:rPr>
              <w:t xml:space="preserve">4.9 ATESTADO DE SAÚDE OCUPACIONAL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numPr>
              <w:ilvl w:val="0"/>
              <w:numId w:val="9"/>
            </w:numPr>
            <w:tabs>
              <w:tab w:val="right" w:pos="9637.511811023622"/>
            </w:tabs>
            <w:spacing w:before="200" w:line="240" w:lineRule="auto"/>
            <w:ind w:left="0" w:firstLine="0"/>
            <w:rPr>
              <w:rFonts w:ascii="Arial" w:cs="Arial" w:eastAsia="Arial" w:hAnsi="Arial"/>
              <w:sz w:val="22"/>
              <w:szCs w:val="22"/>
            </w:rPr>
          </w:pPr>
          <w:hyperlink w:anchor="_1ksv4uv">
            <w:r w:rsidDel="00000000" w:rsidR="00000000" w:rsidRPr="00000000">
              <w:rPr>
                <w:rFonts w:ascii="Arial" w:cs="Arial" w:eastAsia="Arial" w:hAnsi="Arial"/>
                <w:b w:val="1"/>
                <w:sz w:val="22"/>
                <w:szCs w:val="22"/>
                <w:rtl w:val="0"/>
              </w:rPr>
              <w:t xml:space="preserve">5 RESPONSABILIDADES E COMPETÊNCIAS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numPr>
              <w:ilvl w:val="0"/>
              <w:numId w:val="9"/>
            </w:numPr>
            <w:tabs>
              <w:tab w:val="right" w:pos="9637.511811023622"/>
            </w:tabs>
            <w:spacing w:before="60" w:line="240" w:lineRule="auto"/>
            <w:ind w:left="360" w:firstLine="0"/>
            <w:rPr>
              <w:rFonts w:ascii="Arial" w:cs="Arial" w:eastAsia="Arial" w:hAnsi="Arial"/>
              <w:sz w:val="22"/>
              <w:szCs w:val="22"/>
            </w:rPr>
          </w:pPr>
          <w:hyperlink w:anchor="_44sinio">
            <w:r w:rsidDel="00000000" w:rsidR="00000000" w:rsidRPr="00000000">
              <w:rPr>
                <w:rFonts w:ascii="Arial" w:cs="Arial" w:eastAsia="Arial" w:hAnsi="Arial"/>
                <w:sz w:val="22"/>
                <w:szCs w:val="22"/>
                <w:rtl w:val="0"/>
              </w:rPr>
              <w:t xml:space="preserve">5.1 TRT 2ª REGIÃO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numPr>
              <w:ilvl w:val="0"/>
              <w:numId w:val="9"/>
            </w:numPr>
            <w:tabs>
              <w:tab w:val="right" w:pos="9637.511811023622"/>
            </w:tabs>
            <w:spacing w:before="60" w:line="240" w:lineRule="auto"/>
            <w:ind w:left="360" w:firstLine="0"/>
            <w:rPr>
              <w:rFonts w:ascii="Arial" w:cs="Arial" w:eastAsia="Arial" w:hAnsi="Arial"/>
              <w:sz w:val="22"/>
              <w:szCs w:val="22"/>
            </w:rPr>
          </w:pPr>
          <w:hyperlink w:anchor="_2jxsxqh">
            <w:r w:rsidDel="00000000" w:rsidR="00000000" w:rsidRPr="00000000">
              <w:rPr>
                <w:rFonts w:ascii="Arial" w:cs="Arial" w:eastAsia="Arial" w:hAnsi="Arial"/>
                <w:sz w:val="22"/>
                <w:szCs w:val="22"/>
                <w:rtl w:val="0"/>
              </w:rPr>
              <w:t xml:space="preserve">5.2 MÉDICO DO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numPr>
              <w:ilvl w:val="0"/>
              <w:numId w:val="9"/>
            </w:numPr>
            <w:tabs>
              <w:tab w:val="right" w:pos="9637.511811023622"/>
            </w:tabs>
            <w:spacing w:before="60" w:line="240" w:lineRule="auto"/>
            <w:ind w:left="360" w:firstLine="0"/>
            <w:rPr>
              <w:rFonts w:ascii="Arial" w:cs="Arial" w:eastAsia="Arial" w:hAnsi="Arial"/>
              <w:sz w:val="22"/>
              <w:szCs w:val="22"/>
            </w:rPr>
          </w:pPr>
          <w:hyperlink w:anchor="_z337ya">
            <w:r w:rsidDel="00000000" w:rsidR="00000000" w:rsidRPr="00000000">
              <w:rPr>
                <w:rFonts w:ascii="Arial" w:cs="Arial" w:eastAsia="Arial" w:hAnsi="Arial"/>
                <w:sz w:val="22"/>
                <w:szCs w:val="22"/>
                <w:rtl w:val="0"/>
              </w:rPr>
              <w:t xml:space="preserve">5.3 MÉDICO EXAMINADOR</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numPr>
              <w:ilvl w:val="0"/>
              <w:numId w:val="9"/>
            </w:numPr>
            <w:tabs>
              <w:tab w:val="right" w:pos="9637.511811023622"/>
            </w:tabs>
            <w:spacing w:before="60" w:line="240" w:lineRule="auto"/>
            <w:ind w:left="360" w:firstLine="0"/>
            <w:rPr>
              <w:rFonts w:ascii="Arial" w:cs="Arial" w:eastAsia="Arial" w:hAnsi="Arial"/>
              <w:sz w:val="22"/>
              <w:szCs w:val="22"/>
            </w:rPr>
          </w:pPr>
          <w:hyperlink w:anchor="_3j2qqm3">
            <w:r w:rsidDel="00000000" w:rsidR="00000000" w:rsidRPr="00000000">
              <w:rPr>
                <w:rFonts w:ascii="Arial" w:cs="Arial" w:eastAsia="Arial" w:hAnsi="Arial"/>
                <w:sz w:val="22"/>
                <w:szCs w:val="22"/>
                <w:rtl w:val="0"/>
              </w:rPr>
              <w:t xml:space="preserve">5.4 SERVIDORES E MAGISTRADOS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numPr>
              <w:ilvl w:val="0"/>
              <w:numId w:val="9"/>
            </w:numPr>
            <w:tabs>
              <w:tab w:val="right" w:pos="9637.511811023622"/>
            </w:tabs>
            <w:spacing w:before="200" w:line="240" w:lineRule="auto"/>
            <w:ind w:left="0" w:firstLine="0"/>
            <w:rPr>
              <w:rFonts w:ascii="Arial" w:cs="Arial" w:eastAsia="Arial" w:hAnsi="Arial"/>
              <w:sz w:val="22"/>
              <w:szCs w:val="22"/>
            </w:rPr>
          </w:pPr>
          <w:hyperlink w:anchor="_1y810tw">
            <w:r w:rsidDel="00000000" w:rsidR="00000000" w:rsidRPr="00000000">
              <w:rPr>
                <w:rFonts w:ascii="Arial" w:cs="Arial" w:eastAsia="Arial" w:hAnsi="Arial"/>
                <w:b w:val="1"/>
                <w:sz w:val="22"/>
                <w:szCs w:val="22"/>
                <w:rtl w:val="0"/>
              </w:rPr>
              <w:t xml:space="preserve">6 PRIMEIROS SOCORROS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numPr>
              <w:ilvl w:val="0"/>
              <w:numId w:val="9"/>
            </w:numPr>
            <w:tabs>
              <w:tab w:val="right" w:pos="9637.511811023622"/>
            </w:tabs>
            <w:spacing w:before="200" w:line="240" w:lineRule="auto"/>
            <w:ind w:left="0" w:firstLine="0"/>
            <w:rPr>
              <w:rFonts w:ascii="Arial" w:cs="Arial" w:eastAsia="Arial" w:hAnsi="Arial"/>
              <w:sz w:val="22"/>
              <w:szCs w:val="22"/>
            </w:rPr>
          </w:pPr>
          <w:hyperlink w:anchor="_4i7ojhp">
            <w:r w:rsidDel="00000000" w:rsidR="00000000" w:rsidRPr="00000000">
              <w:rPr>
                <w:rFonts w:ascii="Arial" w:cs="Arial" w:eastAsia="Arial" w:hAnsi="Arial"/>
                <w:b w:val="1"/>
                <w:sz w:val="22"/>
                <w:szCs w:val="22"/>
                <w:rtl w:val="0"/>
              </w:rPr>
              <w:t xml:space="preserve">7 VACINAÇÃO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numPr>
              <w:ilvl w:val="0"/>
              <w:numId w:val="9"/>
            </w:numPr>
            <w:tabs>
              <w:tab w:val="right" w:pos="9637.511811023622"/>
            </w:tabs>
            <w:spacing w:before="200" w:line="240" w:lineRule="auto"/>
            <w:ind w:left="0" w:firstLine="0"/>
            <w:rPr>
              <w:rFonts w:ascii="Arial" w:cs="Arial" w:eastAsia="Arial" w:hAnsi="Arial"/>
              <w:sz w:val="22"/>
              <w:szCs w:val="22"/>
            </w:rPr>
          </w:pPr>
          <w:hyperlink w:anchor="_u2p7hfy82iy">
            <w:r w:rsidDel="00000000" w:rsidR="00000000" w:rsidRPr="00000000">
              <w:rPr>
                <w:rFonts w:ascii="Arial" w:cs="Arial" w:eastAsia="Arial" w:hAnsi="Arial"/>
                <w:b w:val="1"/>
                <w:sz w:val="22"/>
                <w:szCs w:val="22"/>
                <w:rtl w:val="0"/>
              </w:rPr>
              <w:t xml:space="preserve">ADENDO – PANDEMIA COVID 19 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numPr>
              <w:ilvl w:val="0"/>
              <w:numId w:val="9"/>
            </w:numPr>
            <w:tabs>
              <w:tab w:val="right" w:pos="9637.511811023622"/>
            </w:tabs>
            <w:spacing w:before="60" w:line="240" w:lineRule="auto"/>
            <w:ind w:left="360" w:firstLine="0"/>
            <w:rPr>
              <w:rFonts w:ascii="Arial" w:cs="Arial" w:eastAsia="Arial" w:hAnsi="Arial"/>
              <w:sz w:val="22"/>
              <w:szCs w:val="22"/>
            </w:rPr>
          </w:pPr>
          <w:hyperlink w:anchor="_cnbd1gf4q4t8">
            <w:r w:rsidDel="00000000" w:rsidR="00000000" w:rsidRPr="00000000">
              <w:rPr>
                <w:rFonts w:ascii="Arial" w:cs="Arial" w:eastAsia="Arial" w:hAnsi="Arial"/>
                <w:sz w:val="22"/>
                <w:szCs w:val="22"/>
                <w:rtl w:val="0"/>
              </w:rPr>
              <w:t xml:space="preserve">A. A PANDEMIA SARS COV 2 COMO DIVISOR DE ÁGUAS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3">
          <w:pPr>
            <w:numPr>
              <w:ilvl w:val="0"/>
              <w:numId w:val="9"/>
            </w:numPr>
            <w:tabs>
              <w:tab w:val="right" w:pos="9637.511811023622"/>
            </w:tabs>
            <w:spacing w:before="60" w:line="240" w:lineRule="auto"/>
            <w:ind w:left="360" w:firstLine="0"/>
            <w:rPr>
              <w:rFonts w:ascii="Arial" w:cs="Arial" w:eastAsia="Arial" w:hAnsi="Arial"/>
              <w:sz w:val="22"/>
              <w:szCs w:val="22"/>
            </w:rPr>
          </w:pPr>
          <w:hyperlink w:anchor="_kt6j3vqygz9n">
            <w:r w:rsidDel="00000000" w:rsidR="00000000" w:rsidRPr="00000000">
              <w:rPr>
                <w:rFonts w:ascii="Arial" w:cs="Arial" w:eastAsia="Arial" w:hAnsi="Arial"/>
                <w:sz w:val="22"/>
                <w:szCs w:val="22"/>
                <w:rtl w:val="0"/>
              </w:rPr>
              <w:t xml:space="preserve">B. PLANO DE IMUNIZAÇÃO PARA SARS COV 2</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sz w:val="22"/>
              <w:szCs w:val="22"/>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4">
          <w:pPr>
            <w:numPr>
              <w:ilvl w:val="0"/>
              <w:numId w:val="9"/>
            </w:numPr>
            <w:tabs>
              <w:tab w:val="right" w:pos="9637.511811023622"/>
            </w:tabs>
            <w:spacing w:before="200" w:line="240" w:lineRule="auto"/>
            <w:ind w:left="0" w:firstLine="0"/>
            <w:rPr>
              <w:sz w:val="22"/>
              <w:szCs w:val="22"/>
            </w:rPr>
          </w:pPr>
          <w:hyperlink w:anchor="_1ci93xb">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5">
          <w:pPr>
            <w:numPr>
              <w:ilvl w:val="0"/>
              <w:numId w:val="9"/>
            </w:numPr>
            <w:tabs>
              <w:tab w:val="right" w:pos="9637.511811023622"/>
            </w:tabs>
            <w:spacing w:after="80" w:before="200" w:line="240" w:lineRule="auto"/>
            <w:ind w:left="0" w:firstLine="0"/>
            <w:rPr>
              <w:rFonts w:ascii="Arial" w:cs="Arial" w:eastAsia="Arial" w:hAnsi="Arial"/>
              <w:sz w:val="22"/>
              <w:szCs w:val="22"/>
            </w:rPr>
          </w:pPr>
          <w:hyperlink w:anchor="_i8qpa3xikwbh">
            <w:r w:rsidDel="00000000" w:rsidR="00000000" w:rsidRPr="00000000">
              <w:rPr>
                <w:rFonts w:ascii="Arial" w:cs="Arial" w:eastAsia="Arial" w:hAnsi="Arial"/>
                <w:b w:val="1"/>
                <w:sz w:val="22"/>
                <w:szCs w:val="22"/>
                <w:rtl w:val="0"/>
              </w:rPr>
              <w:t xml:space="preserve">ANEXO II - ALTERAÇÕES NA ESTRUTURA ORGANIZACIONAL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_i8qpa3xikwbh \h </w:instrText>
            <w:fldChar w:fldCharType="separate"/>
          </w:r>
          <w:r w:rsidDel="00000000" w:rsidR="00000000" w:rsidRPr="00000000">
            <w:rPr>
              <w:rFonts w:ascii="Arial" w:cs="Arial" w:eastAsia="Arial" w:hAnsi="Arial"/>
              <w:b w:val="1"/>
              <w:sz w:val="22"/>
              <w:szCs w:val="22"/>
              <w:rtl w:val="0"/>
            </w:rPr>
            <w:t xml:space="preserve">16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6">
      <w:pPr>
        <w:pStyle w:val="Heading1"/>
        <w:numPr>
          <w:ilvl w:val="0"/>
          <w:numId w:val="9"/>
        </w:numPr>
        <w:rPr>
          <w:sz w:val="22"/>
          <w:szCs w:val="22"/>
        </w:rPr>
      </w:pPr>
      <w:bookmarkStart w:colFirst="0" w:colLast="0" w:name="_65tmbwz00xdr" w:id="0"/>
      <w:bookmarkEnd w:id="0"/>
      <w:r w:rsidDel="00000000" w:rsidR="00000000" w:rsidRPr="00000000">
        <w:rPr>
          <w:sz w:val="22"/>
          <w:szCs w:val="22"/>
          <w:rtl w:val="0"/>
        </w:rPr>
        <w:t xml:space="preserve">1 IDENTIFICAÇÃO DO ESTABELECIMENTO</w:t>
      </w:r>
      <w:r w:rsidDel="00000000" w:rsidR="00000000" w:rsidRPr="00000000">
        <w:rPr>
          <w:rtl w:val="0"/>
        </w:rPr>
      </w:r>
    </w:p>
    <w:tbl>
      <w:tblPr>
        <w:tblStyle w:val="Table2"/>
        <w:tblW w:w="971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67"/>
        <w:tblGridChange w:id="0">
          <w:tblGrid>
            <w:gridCol w:w="2748"/>
            <w:gridCol w:w="696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Santos</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Brás Cubas, 158/162 - Santos/SP - CEP: 11013-162</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222</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numPr>
                <w:ilvl w:val="0"/>
                <w:numId w:val="4"/>
              </w:numPr>
              <w:ind w:left="720" w:hanging="36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15"/>
        <w:tblGridChange w:id="0">
          <w:tblGrid>
            <w:gridCol w:w="97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w:t>
            </w:r>
            <w:r w:rsidDel="00000000" w:rsidR="00000000" w:rsidRPr="00000000">
              <w:rPr>
                <w:rtl w:val="0"/>
              </w:rPr>
            </w:r>
          </w:p>
        </w:tc>
      </w:tr>
    </w:tbl>
    <w:p w:rsidR="00000000" w:rsidDel="00000000" w:rsidP="00000000" w:rsidRDefault="00000000" w:rsidRPr="00000000" w14:paraId="00000053">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rPr>
          <w:sz w:val="22"/>
          <w:szCs w:val="22"/>
        </w:rPr>
      </w:pPr>
      <w:bookmarkStart w:colFirst="0" w:colLast="0" w:name="_v2ewss20x7z7" w:id="1"/>
      <w:bookmarkEnd w:id="1"/>
      <w:r w:rsidDel="00000000" w:rsidR="00000000" w:rsidRPr="00000000">
        <w:rPr>
          <w:sz w:val="22"/>
          <w:szCs w:val="22"/>
          <w:rtl w:val="0"/>
        </w:rPr>
        <w:t xml:space="preserve">2 MISSÃO, VISÃO E VALORES </w:t>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Style w:val="Heading2"/>
        <w:numPr>
          <w:ilvl w:val="1"/>
          <w:numId w:val="9"/>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Style w:val="Heading2"/>
        <w:numPr>
          <w:ilvl w:val="1"/>
          <w:numId w:val="9"/>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Style w:val="Heading2"/>
        <w:numPr>
          <w:ilvl w:val="1"/>
          <w:numId w:val="9"/>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Style w:val="Heading1"/>
        <w:numPr>
          <w:ilvl w:val="0"/>
          <w:numId w:val="9"/>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2">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5">
      <w:pPr>
        <w:numPr>
          <w:ilvl w:val="0"/>
          <w:numId w:val="5"/>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6">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7">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8">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9">
      <w:pPr>
        <w:numPr>
          <w:ilvl w:val="0"/>
          <w:numId w:val="5"/>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pStyle w:val="Heading1"/>
        <w:numPr>
          <w:ilvl w:val="0"/>
          <w:numId w:val="9"/>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pStyle w:val="Heading2"/>
        <w:numPr>
          <w:ilvl w:val="1"/>
          <w:numId w:val="9"/>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2">
      <w:pPr>
        <w:numPr>
          <w:ilvl w:val="0"/>
          <w:numId w:val="13"/>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3">
      <w:pPr>
        <w:numPr>
          <w:ilvl w:val="0"/>
          <w:numId w:val="1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4">
      <w:pPr>
        <w:numPr>
          <w:ilvl w:val="0"/>
          <w:numId w:val="13"/>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6">
      <w:pPr>
        <w:pStyle w:val="Heading2"/>
        <w:numPr>
          <w:ilvl w:val="1"/>
          <w:numId w:val="9"/>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A">
      <w:pPr>
        <w:numPr>
          <w:ilvl w:val="0"/>
          <w:numId w:val="6"/>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B">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C">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D">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E">
      <w:pPr>
        <w:numPr>
          <w:ilvl w:val="0"/>
          <w:numId w:val="6"/>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pStyle w:val="Heading2"/>
        <w:numPr>
          <w:ilvl w:val="1"/>
          <w:numId w:val="9"/>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4">
      <w:pPr>
        <w:numPr>
          <w:ilvl w:val="0"/>
          <w:numId w:val="7"/>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5">
      <w:pPr>
        <w:numPr>
          <w:ilvl w:val="0"/>
          <w:numId w:val="7"/>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7">
      <w:pPr>
        <w:pStyle w:val="Heading2"/>
        <w:numPr>
          <w:ilvl w:val="1"/>
          <w:numId w:val="9"/>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B">
      <w:pPr>
        <w:pStyle w:val="Heading2"/>
        <w:numPr>
          <w:ilvl w:val="1"/>
          <w:numId w:val="9"/>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E">
      <w:pPr>
        <w:pStyle w:val="Heading2"/>
        <w:numPr>
          <w:ilvl w:val="1"/>
          <w:numId w:val="9"/>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1">
      <w:pPr>
        <w:pStyle w:val="Heading2"/>
        <w:numPr>
          <w:ilvl w:val="1"/>
          <w:numId w:val="9"/>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4">
      <w:pPr>
        <w:pStyle w:val="Heading2"/>
        <w:numPr>
          <w:ilvl w:val="1"/>
          <w:numId w:val="9"/>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Style w:val="Heading2"/>
        <w:numPr>
          <w:ilvl w:val="1"/>
          <w:numId w:val="9"/>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A">
      <w:pPr>
        <w:numPr>
          <w:ilvl w:val="0"/>
          <w:numId w:val="1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B">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C">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D">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E">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F">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2">
      <w:pPr>
        <w:pStyle w:val="Heading1"/>
        <w:numPr>
          <w:ilvl w:val="0"/>
          <w:numId w:val="9"/>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4">
      <w:pPr>
        <w:pStyle w:val="Heading2"/>
        <w:numPr>
          <w:ilvl w:val="1"/>
          <w:numId w:val="9"/>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5">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6">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7">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8">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A">
      <w:pPr>
        <w:pStyle w:val="Heading2"/>
        <w:numPr>
          <w:ilvl w:val="1"/>
          <w:numId w:val="9"/>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B">
      <w:pPr>
        <w:numPr>
          <w:ilvl w:val="0"/>
          <w:numId w:val="14"/>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C">
      <w:pPr>
        <w:numPr>
          <w:ilvl w:val="0"/>
          <w:numId w:val="1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D">
      <w:pPr>
        <w:numPr>
          <w:ilvl w:val="0"/>
          <w:numId w:val="1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E">
      <w:pPr>
        <w:numPr>
          <w:ilvl w:val="0"/>
          <w:numId w:val="1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AF">
      <w:pPr>
        <w:numPr>
          <w:ilvl w:val="0"/>
          <w:numId w:val="1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0">
      <w:pPr>
        <w:numPr>
          <w:ilvl w:val="0"/>
          <w:numId w:val="14"/>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2">
      <w:pPr>
        <w:pStyle w:val="Heading2"/>
        <w:numPr>
          <w:ilvl w:val="1"/>
          <w:numId w:val="9"/>
        </w:numPr>
        <w:ind w:left="576" w:hanging="576"/>
        <w:rPr>
          <w:sz w:val="22"/>
          <w:szCs w:val="22"/>
        </w:rPr>
      </w:pPr>
      <w:bookmarkStart w:colFirst="0" w:colLast="0" w:name="_z337ya"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3">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4">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5">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6">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pStyle w:val="Heading2"/>
        <w:numPr>
          <w:ilvl w:val="1"/>
          <w:numId w:val="9"/>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pStyle w:val="Heading1"/>
        <w:numPr>
          <w:ilvl w:val="0"/>
          <w:numId w:val="9"/>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pStyle w:val="Heading1"/>
        <w:numPr>
          <w:ilvl w:val="0"/>
          <w:numId w:val="9"/>
        </w:numPr>
        <w:ind w:left="432" w:hanging="432"/>
        <w:rPr>
          <w:sz w:val="22"/>
          <w:szCs w:val="22"/>
        </w:rPr>
      </w:pPr>
      <w:bookmarkStart w:colFirst="0" w:colLast="0" w:name="_4i7ojhp" w:id="22"/>
      <w:bookmarkEnd w:id="22"/>
      <w:r w:rsidDel="00000000" w:rsidR="00000000" w:rsidRPr="00000000">
        <w:rPr>
          <w:sz w:val="22"/>
          <w:szCs w:val="22"/>
          <w:rtl w:val="0"/>
        </w:rPr>
        <w:t xml:space="preserve">7 VACINAÇÃO</w:t>
      </w:r>
    </w:p>
    <w:p w:rsidR="00000000" w:rsidDel="00000000" w:rsidP="00000000" w:rsidRDefault="00000000" w:rsidRPr="00000000" w14:paraId="000000C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4">
      <w:pPr>
        <w:numPr>
          <w:ilvl w:val="0"/>
          <w:numId w:val="1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5">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6">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7">
      <w:pPr>
        <w:numPr>
          <w:ilvl w:val="0"/>
          <w:numId w:val="1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8">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pStyle w:val="Heading1"/>
        <w:spacing w:after="119" w:lineRule="auto"/>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A">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pStyle w:val="Heading2"/>
        <w:spacing w:after="119" w:lineRule="auto"/>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B">
      <w:pPr>
        <w:spacing w:after="57" w:before="57" w:line="360" w:lineRule="auto"/>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D">
      <w:pPr>
        <w:pStyle w:val="Heading2"/>
        <w:numPr>
          <w:ilvl w:val="1"/>
          <w:numId w:val="9"/>
        </w:numPr>
        <w:ind w:left="576" w:hanging="576"/>
        <w:rPr>
          <w:b w:val="0"/>
          <w:color w:val="000000"/>
          <w:sz w:val="22"/>
          <w:szCs w:val="22"/>
        </w:rPr>
      </w:pPr>
      <w:bookmarkStart w:colFirst="0" w:colLast="0" w:name="_2xcytpi" w:id="26"/>
      <w:bookmarkEnd w:id="26"/>
      <w:r w:rsidDel="00000000" w:rsidR="00000000" w:rsidRPr="00000000">
        <w:rPr>
          <w:b w:val="0"/>
          <w:color w:val="000000"/>
          <w:sz w:val="22"/>
          <w:szCs w:val="22"/>
          <w:rtl w:val="0"/>
        </w:rPr>
        <w:tab/>
      </w:r>
    </w:p>
    <w:p w:rsidR="00000000" w:rsidDel="00000000" w:rsidP="00000000" w:rsidRDefault="00000000" w:rsidRPr="00000000" w14:paraId="000000DE">
      <w:pPr>
        <w:pStyle w:val="Heading2"/>
        <w:numPr>
          <w:ilvl w:val="1"/>
          <w:numId w:val="9"/>
        </w:numPr>
        <w:ind w:left="576" w:hanging="576"/>
        <w:rPr>
          <w:sz w:val="22"/>
          <w:szCs w:val="22"/>
        </w:rPr>
      </w:pPr>
      <w:r w:rsidDel="00000000" w:rsidR="00000000" w:rsidRPr="00000000">
        <w:rPr>
          <w:sz w:val="22"/>
          <w:szCs w:val="22"/>
          <w:rtl w:val="0"/>
        </w:rPr>
        <w:tab/>
      </w:r>
    </w:p>
    <w:p w:rsidR="00000000" w:rsidDel="00000000" w:rsidP="00000000" w:rsidRDefault="00000000" w:rsidRPr="00000000" w14:paraId="000000DF">
      <w:pPr>
        <w:pStyle w:val="Heading1"/>
        <w:numPr>
          <w:ilvl w:val="0"/>
          <w:numId w:val="9"/>
        </w:numPr>
        <w:ind w:left="432" w:hanging="432"/>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1"/>
        <w:numPr>
          <w:ilvl w:val="0"/>
          <w:numId w:val="9"/>
        </w:numPr>
        <w:ind w:left="432" w:hanging="432"/>
        <w:rPr>
          <w:sz w:val="22"/>
          <w:szCs w:val="22"/>
        </w:rPr>
      </w:pPr>
      <w:bookmarkStart w:colFirst="0" w:colLast="0" w:name="_1ci93xb" w:id="27"/>
      <w:bookmarkEnd w:id="27"/>
      <w:r w:rsidDel="00000000" w:rsidR="00000000" w:rsidRPr="00000000">
        <w:rPr>
          <w:sz w:val="22"/>
          <w:szCs w:val="22"/>
          <w:rtl w:val="0"/>
        </w:rPr>
        <w:t xml:space="preserve">ANEXO I – TABELAS DE RISCOS: </w:t>
      </w:r>
    </w:p>
    <w:p w:rsidR="00000000" w:rsidDel="00000000" w:rsidP="00000000" w:rsidRDefault="00000000" w:rsidRPr="00000000" w14:paraId="000000E1">
      <w:pPr>
        <w:spacing w:line="360" w:lineRule="auto"/>
        <w:jc w:val="both"/>
        <w:rPr>
          <w:rFonts w:ascii="Arial" w:cs="Arial" w:eastAsia="Arial" w:hAnsi="Arial"/>
          <w:sz w:val="22"/>
          <w:szCs w:val="22"/>
        </w:rPr>
      </w:pPr>
      <w:r w:rsidDel="00000000" w:rsidR="00000000" w:rsidRPr="00000000">
        <w:rPr>
          <w:rtl w:val="0"/>
        </w:rPr>
      </w:r>
    </w:p>
    <w:tbl>
      <w:tblPr>
        <w:tblStyle w:val="Table4"/>
        <w:tblW w:w="987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33"/>
        <w:tblGridChange w:id="0">
          <w:tblGrid>
            <w:gridCol w:w="1642"/>
            <w:gridCol w:w="823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UNIDADE DE APOIO OPERACIONAL DA BAIXADA SANTISTA</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6">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0E7">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0E8">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avaliações realizadas encontram-se disponíveis na SESMT, nos </w:t>
            </w:r>
            <w:r w:rsidDel="00000000" w:rsidR="00000000" w:rsidRPr="00000000">
              <w:rPr>
                <w:rFonts w:ascii="Arial" w:cs="Arial" w:eastAsia="Arial" w:hAnsi="Arial"/>
                <w:color w:val="000000"/>
                <w:sz w:val="22"/>
                <w:szCs w:val="22"/>
                <w:rtl w:val="0"/>
              </w:rPr>
              <w:t xml:space="preserve">respectivos laudos.</w:t>
            </w:r>
            <w:r w:rsidDel="00000000" w:rsidR="00000000" w:rsidRPr="00000000">
              <w:rPr>
                <w:rtl w:val="0"/>
              </w:rPr>
            </w:r>
          </w:p>
        </w:tc>
      </w:tr>
    </w:tbl>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tbl>
      <w:tblPr>
        <w:tblStyle w:val="Table5"/>
        <w:tblW w:w="98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6"/>
        <w:tblGridChange w:id="0">
          <w:tblGrid>
            <w:gridCol w:w="1642"/>
            <w:gridCol w:w="820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F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F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F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F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F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F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F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F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F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0F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0F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1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tbl>
      <w:tblPr>
        <w:tblStyle w:val="Table6"/>
        <w:tblW w:w="987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33"/>
        <w:tblGridChange w:id="0">
          <w:tblGrid>
            <w:gridCol w:w="1642"/>
            <w:gridCol w:w="823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DE SANTOS (1ª a 7ª)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r w:rsidDel="00000000" w:rsidR="00000000" w:rsidRPr="00000000">
        <w:rPr>
          <w:rtl w:val="0"/>
        </w:rPr>
      </w:r>
    </w:p>
    <w:tbl>
      <w:tblPr>
        <w:tblStyle w:val="Table7"/>
        <w:tblW w:w="987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33"/>
        <w:tblGridChange w:id="0">
          <w:tblGrid>
            <w:gridCol w:w="1642"/>
            <w:gridCol w:w="823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CENTRAL DE MANDADOS DA BAIXADA SANTISTA</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6">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117">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118">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avaliações realizadas encontram-se disponíveis na SESMT, nos </w:t>
            </w:r>
            <w:r w:rsidDel="00000000" w:rsidR="00000000" w:rsidRPr="00000000">
              <w:rPr>
                <w:rFonts w:ascii="Arial" w:cs="Arial" w:eastAsia="Arial" w:hAnsi="Arial"/>
                <w:color w:val="000000"/>
                <w:sz w:val="22"/>
                <w:szCs w:val="22"/>
                <w:rtl w:val="0"/>
              </w:rPr>
              <w:t xml:space="preserve">respectivos laudos.</w:t>
            </w:r>
            <w:r w:rsidDel="00000000" w:rsidR="00000000" w:rsidRPr="00000000">
              <w:rPr>
                <w:rtl w:val="0"/>
              </w:rPr>
            </w:r>
          </w:p>
        </w:tc>
      </w:tr>
    </w:tbl>
    <w:p w:rsidR="00000000" w:rsidDel="00000000" w:rsidP="00000000" w:rsidRDefault="00000000" w:rsidRPr="00000000" w14:paraId="0000011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A">
      <w:pPr>
        <w:spacing w:line="360" w:lineRule="auto"/>
        <w:jc w:val="both"/>
        <w:rPr>
          <w:rFonts w:ascii="Arial" w:cs="Arial" w:eastAsia="Arial" w:hAnsi="Arial"/>
          <w:b w:val="1"/>
          <w:sz w:val="22"/>
          <w:szCs w:val="22"/>
        </w:rPr>
      </w:pPr>
      <w:r w:rsidDel="00000000" w:rsidR="00000000" w:rsidRPr="00000000">
        <w:rPr>
          <w:rtl w:val="0"/>
        </w:rPr>
      </w:r>
    </w:p>
    <w:tbl>
      <w:tblPr>
        <w:tblStyle w:val="Table8"/>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5730"/>
        <w:gridCol w:w="2190"/>
        <w:gridCol w:w="1710"/>
        <w:tblGridChange w:id="0">
          <w:tblGrid>
            <w:gridCol w:w="5730"/>
            <w:gridCol w:w="2190"/>
            <w:gridCol w:w="171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1E">
            <w:pPr>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1F">
            <w:pPr>
              <w:spacing w:after="57"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LOCALIZAÇÃO:</w:t>
            </w:r>
          </w:p>
          <w:p w:rsidR="00000000" w:rsidDel="00000000" w:rsidP="00000000" w:rsidRDefault="00000000" w:rsidRPr="00000000" w14:paraId="00000120">
            <w:pPr>
              <w:spacing w:after="57"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Domicílio </w:t>
            </w:r>
          </w:p>
          <w:p w:rsidR="00000000" w:rsidDel="00000000" w:rsidP="00000000" w:rsidRDefault="00000000" w:rsidRPr="00000000" w14:paraId="00000121">
            <w:pPr>
              <w:spacing w:after="57"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spacing w:after="57"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JORNADA:</w:t>
            </w:r>
          </w:p>
          <w:p w:rsidR="00000000" w:rsidDel="00000000" w:rsidP="00000000" w:rsidRDefault="00000000" w:rsidRPr="00000000" w14:paraId="000001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spacing w:after="57"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8">
            <w:pPr>
              <w:spacing w:after="57"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29">
            <w:pPr>
              <w:spacing w:after="57"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2A">
            <w:pPr>
              <w:spacing w:after="57"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2B">
            <w:pPr>
              <w:spacing w:after="57"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1">
            <w:pPr>
              <w:spacing w:after="11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32">
            <w:pPr>
              <w:spacing w:after="11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33">
            <w:pPr>
              <w:spacing w:after="11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34">
            <w:pPr>
              <w:spacing w:after="11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37">
      <w:pPr>
        <w:pStyle w:val="Heading1"/>
        <w:numPr>
          <w:ilvl w:val="0"/>
          <w:numId w:val="8"/>
        </w:numPr>
        <w:spacing w:after="119" w:lineRule="auto"/>
        <w:rPr>
          <w:rFonts w:ascii="Arial" w:cs="Arial" w:eastAsia="Arial" w:hAnsi="Arial"/>
          <w:b w:val="1"/>
          <w:sz w:val="22"/>
          <w:szCs w:val="22"/>
        </w:rPr>
      </w:pPr>
      <w:bookmarkStart w:colFirst="0" w:colLast="0" w:name="_i8qpa3xikwbh" w:id="28"/>
      <w:bookmarkEnd w:id="28"/>
      <w:r w:rsidDel="00000000" w:rsidR="00000000" w:rsidRPr="00000000">
        <w:br w:type="page"/>
      </w:r>
      <w:r w:rsidDel="00000000" w:rsidR="00000000" w:rsidRPr="00000000">
        <w:rPr>
          <w:smallCaps w:val="0"/>
          <w:color w:val="000000"/>
          <w:sz w:val="22"/>
          <w:szCs w:val="22"/>
          <w:rtl w:val="0"/>
        </w:rPr>
        <w:t xml:space="preserve">ANEXO II - ALTERAÇÕES NA ESTRUTURA ORGANIZACIONAL</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9"/>
        <w:tblW w:w="9788.0" w:type="dxa"/>
        <w:jc w:val="left"/>
        <w:tblInd w:w="0.0" w:type="dxa"/>
        <w:tblBorders>
          <w:top w:color="000000" w:space="0" w:sz="12" w:val="single"/>
          <w:left w:color="000000" w:space="0" w:sz="12" w:val="single"/>
          <w:bottom w:color="000000" w:space="0" w:sz="12" w:val="single"/>
          <w:insideH w:color="000000" w:space="0" w:sz="12" w:val="single"/>
        </w:tblBorders>
        <w:tblLayout w:type="fixed"/>
        <w:tblLook w:val="0000"/>
      </w:tblPr>
      <w:tblGrid>
        <w:gridCol w:w="2878"/>
        <w:gridCol w:w="3828"/>
        <w:gridCol w:w="3082"/>
        <w:tblGridChange w:id="0">
          <w:tblGrid>
            <w:gridCol w:w="2878"/>
            <w:gridCol w:w="3828"/>
            <w:gridCol w:w="3082"/>
          </w:tblGrid>
        </w:tblGridChange>
      </w:tblGrid>
      <w:tr>
        <w:trPr>
          <w:cantSplit w:val="0"/>
          <w:tblHeader w:val="0"/>
        </w:trPr>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SETOR¹</w:t>
            </w:r>
          </w:p>
        </w:tc>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AMBIENTAL</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Unidade de Apoio Operacional da Baixada Santista</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 (antigo CIAO)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realizada¹</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Central de Mandados da Unidade de Apoio Operacional da Baixada Santista</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3º andar</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realizada²</w:t>
            </w:r>
          </w:p>
        </w:tc>
      </w:tr>
      <w:tr>
        <w:trPr>
          <w:cantSplit w:val="0"/>
          <w:tblHeader w:val="0"/>
        </w:trPr>
        <w:tc>
          <w:tcPr>
            <w:gridSpan w:val="3"/>
            <w:tcBorders>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w:t>
            </w:r>
          </w:p>
        </w:tc>
      </w:tr>
      <w:tr>
        <w:trPr>
          <w:cantSplit w:val="0"/>
          <w:tblHeader w:val="0"/>
        </w:trPr>
        <w:tc>
          <w:tcPr>
            <w:gridSpan w:val="3"/>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Alteração ocorrida após as avaliações ambientais realizadas pela empresa Enfemed no período de 23 de fev a 04 de mar de 2015.</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²  Seção criada após as avaliações ambientais efetuadas pela empresa Enfemed no período de 23 de fev a 04 de mar de 2015.</w:t>
            </w:r>
          </w:p>
        </w:tc>
      </w:tr>
    </w:tbl>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10"/>
        <w:tblW w:w="987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875"/>
        <w:tblGridChange w:id="0">
          <w:tblGrid>
            <w:gridCol w:w="987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4A">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4B">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4C">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D">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E">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F">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0">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2">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53">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5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5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5C">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5D">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5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5F">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6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6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6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69">
      <w:pPr>
        <w:widowControl w:val="1"/>
        <w:spacing w:after="0" w:before="0" w:line="240" w:lineRule="auto"/>
        <w:jc w:val="center"/>
        <w:rPr>
          <w:rFonts w:ascii="Arial" w:cs="Arial" w:eastAsia="Arial" w:hAnsi="Arial"/>
          <w:b w:val="1"/>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37" w:top="3121" w:left="1134" w:right="1134" w:header="28.34645669291339"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pageBreakBefore w:val="0"/>
      <w:widowControl w:val="0"/>
      <w:pBdr>
        <w:top w:space="0" w:sz="0" w:val="nil"/>
        <w:left w:space="0" w:sz="0" w:val="nil"/>
        <w:bottom w:color="000000" w:space="1" w:sz="12" w:val="single"/>
        <w:right w:space="0" w:sz="0" w:val="nil"/>
        <w:between w:space="0" w:sz="0" w:val="nil"/>
      </w:pBdr>
      <w:shd w:fill="auto" w:val="clear"/>
      <w:tabs>
        <w:tab w:val="center" w:pos="4818"/>
        <w:tab w:val="right" w:pos="9637"/>
      </w:tabs>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7" name="image2.png"/>
          <a:graphic>
            <a:graphicData uri="http://schemas.openxmlformats.org/drawingml/2006/picture">
              <pic:pic>
                <pic:nvPicPr>
                  <pic:cNvPr id="0" name="image2.png"/>
                  <pic:cNvPicPr preferRelativeResize="0"/>
                </pic:nvPicPr>
                <pic:blipFill>
                  <a:blip r:embed="rId1"/>
                  <a:srcRect b="-23" l="-4" r="-4" t="-24"/>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3105150</wp:posOffset>
              </wp:positionH>
              <wp:positionV relativeFrom="paragraph">
                <wp:posOffset>42675</wp:posOffset>
              </wp:positionV>
              <wp:extent cx="12700" cy="572135"/>
              <wp:effectExtent b="0" l="0" r="0" t="0"/>
              <wp:wrapNone/>
              <wp:docPr id="2"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3105150</wp:posOffset>
              </wp:positionH>
              <wp:positionV relativeFrom="paragraph">
                <wp:posOffset>42675</wp:posOffset>
              </wp:positionV>
              <wp:extent cx="12700" cy="572135"/>
              <wp:effectExtent b="0" l="0" r="0" t="0"/>
              <wp:wrapNone/>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4" name=""/>
              <a:graphic>
                <a:graphicData uri="http://schemas.microsoft.com/office/word/2010/wordprocessingShape">
                  <wps:wsp>
                    <wps:cNvSpPr/>
                    <wps:cNvPr id="3" name="Shape 3"/>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4"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2898775" cy="771525"/>
                      </a:xfrm>
                      <a:prstGeom prst="rect"/>
                      <a:ln/>
                    </pic:spPr>
                  </pic:pic>
                </a:graphicData>
              </a:graphic>
            </wp:anchor>
          </w:drawing>
        </mc:Fallback>
      </mc:AlternateConten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113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4">
    <w:pPr>
      <w:widowControl w:val="1"/>
      <w:numPr>
        <w:ilvl w:val="0"/>
        <w:numId w:val="9"/>
      </w:numPr>
      <w:pBdr>
        <w:bottom w:color="000000" w:space="1" w:sz="12" w:val="single"/>
      </w:pBdr>
      <w:spacing w:after="100" w:before="100" w:lineRule="auto"/>
      <w:ind w:left="432" w:right="360"/>
      <w:jc w:val="both"/>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3457575</wp:posOffset>
              </wp:positionH>
              <wp:positionV relativeFrom="paragraph">
                <wp:posOffset>266513</wp:posOffset>
              </wp:positionV>
              <wp:extent cx="2908935" cy="780707"/>
              <wp:effectExtent b="0" l="0" r="0" t="0"/>
              <wp:wrapSquare wrapText="bothSides" distB="0" distT="0" distL="0" distR="0"/>
              <wp:docPr id="3"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3457575</wp:posOffset>
              </wp:positionH>
              <wp:positionV relativeFrom="paragraph">
                <wp:posOffset>266513</wp:posOffset>
              </wp:positionV>
              <wp:extent cx="2908935" cy="780707"/>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85">
    <w:pPr>
      <w:widowControl w:val="1"/>
      <w:numPr>
        <w:ilvl w:val="0"/>
        <w:numId w:val="9"/>
      </w:numPr>
      <w:spacing w:after="100" w:before="100" w:lineRule="auto"/>
      <w:ind w:left="432" w:right="360"/>
      <w:jc w:val="both"/>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86">
    <w:pPr>
      <w:widowControl w:val="1"/>
      <w:numPr>
        <w:ilvl w:val="0"/>
        <w:numId w:val="9"/>
      </w:numPr>
      <w:spacing w:after="100" w:before="100" w:lineRule="auto"/>
      <w:ind w:left="432" w:right="360"/>
      <w:jc w:val="both"/>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B">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6C">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0">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71">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72">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73">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119" w:before="0" w:line="360" w:lineRule="auto"/>
      <w:ind w:left="-142" w:right="0" w:firstLine="284"/>
      <w:jc w:val="center"/>
      <w:rPr>
        <w:rFonts w:ascii="Courier New" w:cs="Courier New" w:eastAsia="Courier New" w:hAnsi="Courier Ne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7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7">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A">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7B">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7C">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7D">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7E">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2"/>
        <w:szCs w:val="22"/>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sz w:val="22"/>
        <w:szCs w:val="22"/>
      </w:rPr>
    </w:lvl>
    <w:lvl w:ilvl="4">
      <w:start w:val="1"/>
      <w:numFmt w:val="bullet"/>
      <w:lvlText w:val=""/>
      <w:lvlJc w:val="left"/>
      <w:pPr>
        <w:ind w:left="2160" w:hanging="360"/>
      </w:pPr>
      <w:rPr>
        <w:sz w:val="22"/>
        <w:szCs w:val="22"/>
      </w:rPr>
    </w:lvl>
    <w:lvl w:ilvl="5">
      <w:start w:val="1"/>
      <w:numFmt w:val="bullet"/>
      <w:lvlText w:val=""/>
      <w:lvlJc w:val="left"/>
      <w:pPr>
        <w:ind w:left="2520" w:hanging="360"/>
      </w:pPr>
      <w:rPr>
        <w:sz w:val="22"/>
        <w:szCs w:val="22"/>
      </w:rPr>
    </w:lvl>
    <w:lvl w:ilvl="6">
      <w:start w:val="1"/>
      <w:numFmt w:val="bullet"/>
      <w:lvlText w:val=""/>
      <w:lvlJc w:val="left"/>
      <w:pPr>
        <w:ind w:left="2880" w:hanging="360"/>
      </w:pPr>
      <w:rPr>
        <w:sz w:val="22"/>
        <w:szCs w:val="22"/>
      </w:rPr>
    </w:lvl>
    <w:lvl w:ilvl="7">
      <w:start w:val="1"/>
      <w:numFmt w:val="bullet"/>
      <w:lvlText w:val=""/>
      <w:lvlJc w:val="left"/>
      <w:pPr>
        <w:ind w:left="3240" w:hanging="360"/>
      </w:pPr>
      <w:rPr>
        <w:sz w:val="22"/>
        <w:szCs w:val="22"/>
      </w:rPr>
    </w:lvl>
    <w:lvl w:ilvl="8">
      <w:start w:val="1"/>
      <w:numFmt w:val="bullet"/>
      <w:lvlText w:val=""/>
      <w:lvlJc w:val="left"/>
      <w:pPr>
        <w:ind w:left="3600" w:hanging="360"/>
      </w:pPr>
      <w:rPr>
        <w:sz w:val="22"/>
        <w:szCs w:val="22"/>
      </w:rPr>
    </w:lvl>
  </w:abstractNum>
  <w:abstractNum w:abstractNumId="3">
    <w:lvl w:ilvl="0">
      <w:start w:val="1"/>
      <w:numFmt w:val="bullet"/>
      <w:lvlText w:val=""/>
      <w:lvlJc w:val="left"/>
      <w:pPr>
        <w:ind w:left="720" w:hanging="360"/>
      </w:pPr>
      <w:rPr>
        <w:color w:val="000000"/>
        <w:sz w:val="28"/>
        <w:szCs w:val="28"/>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3"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3"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20" w:before="140" w:lineRule="auto"/>
      <w:ind w:left="720" w:hanging="720"/>
    </w:pPr>
    <w:rPr>
      <w:rFonts w:ascii="Arial" w:cs="Arial" w:eastAsia="Arial" w:hAnsi="Arial"/>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Arial" w:cs="Arial" w:eastAsia="Arial" w:hAnsi="Arial"/>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7.0" w:type="dxa"/>
        <w:left w:w="42.0" w:type="dxa"/>
        <w:bottom w:w="57.0" w:type="dxa"/>
        <w:right w:w="57.0" w:type="dxa"/>
      </w:tblCellMar>
    </w:tblPr>
  </w:style>
  <w:style w:type="table" w:styleId="Table7">
    <w:basedOn w:val="TableNormal"/>
    <w:tblPr>
      <w:tblStyleRowBandSize w:val="1"/>
      <w:tblStyleColBandSize w:val="1"/>
      <w:tblCellMar>
        <w:top w:w="57.0" w:type="dxa"/>
        <w:left w:w="42.0" w:type="dxa"/>
        <w:bottom w:w="57.0" w:type="dxa"/>
        <w:right w:w="57.0" w:type="dxa"/>
      </w:tblCellMar>
    </w:tblPr>
  </w:style>
  <w:style w:type="table" w:styleId="Table8">
    <w:basedOn w:val="TableNormal"/>
    <w:tblPr>
      <w:tblStyleRowBandSize w:val="1"/>
      <w:tblStyleColBandSize w:val="1"/>
      <w:tblCellMar>
        <w:top w:w="55.0" w:type="dxa"/>
        <w:left w:w="54.0" w:type="dxa"/>
        <w:bottom w:w="55.0" w:type="dxa"/>
        <w:right w:w="55.0" w:type="dxa"/>
      </w:tblCellMar>
    </w:tblPr>
  </w:style>
  <w:style w:type="table" w:styleId="Table9">
    <w:basedOn w:val="TableNormal"/>
    <w:tblPr>
      <w:tblStyleRowBandSize w:val="1"/>
      <w:tblStyleColBandSize w:val="1"/>
      <w:tblCellMar>
        <w:top w:w="55.0" w:type="dxa"/>
        <w:left w:w="40.0" w:type="dxa"/>
        <w:bottom w:w="55.0" w:type="dxa"/>
        <w:right w:w="55.0" w:type="dxa"/>
      </w:tblCellMar>
    </w:tblPr>
  </w:style>
  <w:style w:type="table" w:styleId="Table10">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 Id="rId3"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