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87.0" w:type="dxa"/>
        <w:jc w:val="left"/>
        <w:tblInd w:w="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0"/>
        <w:gridCol w:w="1837"/>
        <w:tblGridChange w:id="0">
          <w:tblGrid>
            <w:gridCol w:w="7650"/>
            <w:gridCol w:w="183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SANTANA DE PARNAÍBA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SANTANA DE PARNAÍBA / SÃO PAULO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5">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7">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p4hvtoklh8y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_p4hvtoklh8yx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7qpdxc9p84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_v7qpdxc9p84i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gaf4ufy0wv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_vgaf4ufy0wvm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ind w:left="0"/>
        <w:rPr>
          <w:sz w:val="22"/>
          <w:szCs w:val="22"/>
        </w:rPr>
      </w:pPr>
      <w:bookmarkStart w:colFirst="0" w:colLast="0" w:name="_3vkok3l9nyuq"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8"/>
        </w:numPr>
        <w:rPr>
          <w:sz w:val="22"/>
          <w:szCs w:val="22"/>
        </w:rPr>
      </w:pPr>
      <w:bookmarkStart w:colFirst="0" w:colLast="0" w:name="_p4hvtoklh8yx"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9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47"/>
        <w:tblGridChange w:id="0">
          <w:tblGrid>
            <w:gridCol w:w="2748"/>
            <w:gridCol w:w="694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Santana de Parnaíba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Treze de Maio, 222 – Santana de Parnaíba/SP</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06502-150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5"/>
        <w:tblGridChange w:id="0">
          <w:tblGrid>
            <w:gridCol w:w="96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1"/>
        <w:numPr>
          <w:ilvl w:val="0"/>
          <w:numId w:val="8"/>
        </w:numPr>
        <w:ind w:left="432" w:hanging="432"/>
        <w:rPr>
          <w:sz w:val="22"/>
          <w:szCs w:val="22"/>
        </w:rPr>
      </w:pPr>
      <w:bookmarkStart w:colFirst="0" w:colLast="0" w:name="_v7qpdxc9p84i" w:id="2"/>
      <w:bookmarkEnd w:id="2"/>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8"/>
        </w:numPr>
        <w:ind w:left="576" w:hanging="576"/>
        <w:rPr>
          <w:sz w:val="22"/>
          <w:szCs w:val="22"/>
        </w:rPr>
      </w:pPr>
      <w:bookmarkStart w:colFirst="0" w:colLast="0" w:name="_30j0zll" w:id="3"/>
      <w:bookmarkEnd w:id="3"/>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8"/>
        </w:numPr>
        <w:ind w:left="576" w:hanging="576"/>
        <w:rPr>
          <w:sz w:val="22"/>
          <w:szCs w:val="22"/>
        </w:rPr>
      </w:pPr>
      <w:bookmarkStart w:colFirst="0" w:colLast="0" w:name="_1fob9te" w:id="4"/>
      <w:bookmarkEnd w:id="4"/>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8"/>
        </w:numPr>
        <w:ind w:left="576" w:hanging="576"/>
        <w:rPr>
          <w:sz w:val="22"/>
          <w:szCs w:val="22"/>
        </w:rPr>
      </w:pPr>
      <w:bookmarkStart w:colFirst="0" w:colLast="0" w:name="_3znysh7" w:id="5"/>
      <w:bookmarkEnd w:id="5"/>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8"/>
        </w:numPr>
        <w:ind w:left="432" w:hanging="432"/>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w:t>
      </w:r>
      <w:r w:rsidDel="00000000" w:rsidR="00000000" w:rsidRPr="00000000">
        <w:rPr>
          <w:rFonts w:ascii="Arial" w:cs="Arial" w:eastAsia="Arial" w:hAnsi="Arial"/>
          <w:color w:val="000000"/>
          <w:sz w:val="22"/>
          <w:szCs w:val="22"/>
          <w:rtl w:val="0"/>
        </w:rPr>
        <w:t xml:space="preserve">realizad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8"/>
        </w:numPr>
        <w:ind w:left="432" w:hanging="432"/>
        <w:rPr>
          <w:sz w:val="22"/>
          <w:szCs w:val="22"/>
        </w:rPr>
      </w:pPr>
      <w:bookmarkStart w:colFirst="0" w:colLast="0" w:name="_tyjcwt"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8"/>
        </w:numPr>
        <w:ind w:left="576" w:hanging="576"/>
        <w:rPr>
          <w:sz w:val="22"/>
          <w:szCs w:val="22"/>
        </w:rPr>
      </w:pPr>
      <w:bookmarkStart w:colFirst="0" w:colLast="0" w:name="_3dy6vkm"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8"/>
        </w:numPr>
        <w:ind w:left="576" w:hanging="576"/>
        <w:rPr>
          <w:sz w:val="22"/>
          <w:szCs w:val="22"/>
        </w:rPr>
      </w:pPr>
      <w:bookmarkStart w:colFirst="0" w:colLast="0" w:name="_1t3h5sf"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Style w:val="Heading2"/>
        <w:ind w:left="1080" w:firstLine="0"/>
        <w:rPr>
          <w:sz w:val="22"/>
          <w:szCs w:val="22"/>
        </w:rPr>
      </w:pPr>
      <w:bookmarkStart w:colFirst="0" w:colLast="0" w:name="_2s8eyo1" w:id="10"/>
      <w:bookmarkEnd w:id="10"/>
      <w:r w:rsidDel="00000000" w:rsidR="00000000" w:rsidRPr="00000000">
        <w:rPr>
          <w:sz w:val="22"/>
          <w:szCs w:val="22"/>
          <w:rtl w:val="0"/>
        </w:rPr>
        <w:t xml:space="preserve">4.3 EXAME DE MUDANÇA DE FUNÇÃO</w:t>
      </w:r>
    </w:p>
    <w:p w:rsidR="00000000" w:rsidDel="00000000" w:rsidP="00000000" w:rsidRDefault="00000000" w:rsidRPr="00000000" w14:paraId="00000082">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objetivos são:</w:t>
      </w:r>
    </w:p>
    <w:p w:rsidR="00000000" w:rsidDel="00000000" w:rsidP="00000000" w:rsidRDefault="00000000" w:rsidRPr="00000000" w14:paraId="00000084">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87">
      <w:pPr>
        <w:pStyle w:val="Heading2"/>
        <w:ind w:left="1080" w:firstLine="0"/>
        <w:rPr>
          <w:sz w:val="22"/>
          <w:szCs w:val="22"/>
        </w:rPr>
      </w:pPr>
      <w:bookmarkStart w:colFirst="0" w:colLast="0" w:name="_17dp8vu"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Style w:val="Heading2"/>
        <w:ind w:left="1080" w:firstLine="0"/>
        <w:rPr>
          <w:sz w:val="22"/>
          <w:szCs w:val="22"/>
        </w:rPr>
      </w:pPr>
      <w:bookmarkStart w:colFirst="0" w:colLast="0" w:name="_3rdcrjn" w:id="12"/>
      <w:bookmarkEnd w:id="12"/>
      <w:r w:rsidDel="00000000" w:rsidR="00000000" w:rsidRPr="00000000">
        <w:rPr>
          <w:b w:val="0"/>
          <w:sz w:val="22"/>
          <w:szCs w:val="22"/>
          <w:rtl w:val="0"/>
        </w:rPr>
        <w:tab/>
      </w:r>
      <w:r w:rsidDel="00000000" w:rsidR="00000000" w:rsidRPr="00000000">
        <w:rPr>
          <w:sz w:val="22"/>
          <w:szCs w:val="22"/>
          <w:rtl w:val="0"/>
        </w:rPr>
        <w:t xml:space="preserve">4.5 EXAME DEMISSIONAL</w:t>
      </w:r>
    </w:p>
    <w:p w:rsidR="00000000" w:rsidDel="00000000" w:rsidP="00000000" w:rsidRDefault="00000000" w:rsidRPr="00000000" w14:paraId="0000008C">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8E">
      <w:pPr>
        <w:pStyle w:val="Heading2"/>
        <w:ind w:left="1080" w:firstLine="0"/>
        <w:rPr>
          <w:sz w:val="22"/>
          <w:szCs w:val="22"/>
        </w:rPr>
      </w:pPr>
      <w:bookmarkStart w:colFirst="0" w:colLast="0" w:name="_26in1rg"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Style w:val="Heading2"/>
        <w:ind w:left="1080" w:firstLine="0"/>
        <w:rPr>
          <w:sz w:val="22"/>
          <w:szCs w:val="22"/>
        </w:rPr>
      </w:pPr>
      <w:bookmarkStart w:colFirst="0" w:colLast="0" w:name="_lnxbz9"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Style w:val="Heading2"/>
        <w:ind w:left="1080" w:firstLine="0"/>
        <w:rPr>
          <w:sz w:val="22"/>
          <w:szCs w:val="22"/>
        </w:rPr>
      </w:pPr>
      <w:bookmarkStart w:colFirst="0" w:colLast="0" w:name="_35nkun2"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dados obtidos nos exames médicos, incluindo a avaliação clínica, os exames complementares ocupacionais e as conclusões, devem ser registrados no Prontuário Médico e resguardados pelo sigilo médico, sendo o Médico do Trabalho Coordenador seu guardião.</w:t>
      </w:r>
    </w:p>
    <w:p w:rsidR="00000000" w:rsidDel="00000000" w:rsidP="00000000" w:rsidRDefault="00000000" w:rsidRPr="00000000" w14:paraId="00000096">
      <w:pPr>
        <w:pStyle w:val="Heading2"/>
        <w:ind w:left="1080" w:firstLine="0"/>
        <w:rPr>
          <w:sz w:val="22"/>
          <w:szCs w:val="22"/>
        </w:rPr>
      </w:pPr>
      <w:bookmarkStart w:colFirst="0" w:colLast="0" w:name="_1ksv4uv"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7">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cada exame médico realizado, será emitido o Atestado de Saúde Ocupacional – ASO, que segue a recomendação da NR-7 do Ministério do Trabalho, a qual se refere à resolução 141 do CSJT.</w:t>
      </w:r>
    </w:p>
    <w:p w:rsidR="00000000" w:rsidDel="00000000" w:rsidP="00000000" w:rsidRDefault="00000000" w:rsidRPr="00000000" w14:paraId="00000098">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sz w:val="22"/>
          <w:szCs w:val="22"/>
          <w:rtl w:val="0"/>
        </w:rPr>
        <w:t xml:space="preserve">No </w:t>
      </w:r>
      <w:r w:rsidDel="00000000" w:rsidR="00000000" w:rsidRPr="00000000">
        <w:rPr>
          <w:rFonts w:ascii="Arial" w:cs="Arial" w:eastAsia="Arial" w:hAnsi="Arial"/>
          <w:sz w:val="22"/>
          <w:szCs w:val="22"/>
          <w:rtl w:val="0"/>
        </w:rPr>
        <w:t xml:space="preserve">ASO</w:t>
      </w:r>
      <w:r w:rsidDel="00000000" w:rsidR="00000000" w:rsidRPr="00000000">
        <w:rPr>
          <w:rFonts w:ascii="Arial" w:cs="Arial" w:eastAsia="Arial" w:hAnsi="Arial"/>
          <w:sz w:val="22"/>
          <w:szCs w:val="22"/>
          <w:rtl w:val="0"/>
        </w:rPr>
        <w:t xml:space="preserve"> devem constar: </w:t>
      </w:r>
    </w:p>
    <w:p w:rsidR="00000000" w:rsidDel="00000000" w:rsidP="00000000" w:rsidRDefault="00000000" w:rsidRPr="00000000" w14:paraId="00000099">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Nome completo do trabalhador, número do registro de sua identidade e sua função;</w:t>
      </w:r>
    </w:p>
    <w:p w:rsidR="00000000" w:rsidDel="00000000" w:rsidP="00000000" w:rsidRDefault="00000000" w:rsidRPr="00000000" w14:paraId="0000009A">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B">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Definição de apto ou inapto para a função;</w:t>
      </w:r>
    </w:p>
    <w:p w:rsidR="00000000" w:rsidDel="00000000" w:rsidP="00000000" w:rsidRDefault="00000000" w:rsidRPr="00000000" w14:paraId="0000009C">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Nome do médico do trabalho executor do exame e endereço, ou forma de contato com o mesmo;</w:t>
      </w:r>
    </w:p>
    <w:p w:rsidR="00000000" w:rsidDel="00000000" w:rsidP="00000000" w:rsidRDefault="00000000" w:rsidRPr="00000000" w14:paraId="0000009D">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E">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F">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Style w:val="Heading1"/>
        <w:ind w:left="720" w:firstLine="0"/>
        <w:rPr>
          <w:sz w:val="22"/>
          <w:szCs w:val="22"/>
        </w:rPr>
      </w:pPr>
      <w:bookmarkStart w:colFirst="0" w:colLast="0" w:name="_44sinio"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2">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Style w:val="Heading2"/>
        <w:ind w:left="1080" w:firstLine="0"/>
        <w:rPr>
          <w:sz w:val="22"/>
          <w:szCs w:val="22"/>
        </w:rPr>
      </w:pPr>
      <w:bookmarkStart w:colFirst="0" w:colLast="0" w:name="_2jxsxqh" w:id="18"/>
      <w:bookmarkEnd w:id="18"/>
      <w:r w:rsidDel="00000000" w:rsidR="00000000" w:rsidRPr="00000000">
        <w:rPr>
          <w:sz w:val="22"/>
          <w:szCs w:val="22"/>
          <w:rtl w:val="0"/>
        </w:rPr>
        <w:tab/>
        <w:t xml:space="preserve">5.1 TRT 2ª REGIÃO</w:t>
      </w:r>
    </w:p>
    <w:p w:rsidR="00000000" w:rsidDel="00000000" w:rsidP="00000000" w:rsidRDefault="00000000" w:rsidRPr="00000000" w14:paraId="000000A4">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Garantir a elaboração, implantação e gestão do PCMSO, bem como zelar pela sua eficácia;</w:t>
      </w:r>
    </w:p>
    <w:p w:rsidR="00000000" w:rsidDel="00000000" w:rsidP="00000000" w:rsidRDefault="00000000" w:rsidRPr="00000000" w14:paraId="000000A5">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Custear sem ônus para o servidor, todos os procedimentos relacionados ao PCMSO;</w:t>
      </w:r>
    </w:p>
    <w:p w:rsidR="00000000" w:rsidDel="00000000" w:rsidP="00000000" w:rsidRDefault="00000000" w:rsidRPr="00000000" w14:paraId="000000A6">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7">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Indicar médico coordenador responsável pela execução do PCMSO.</w:t>
      </w:r>
    </w:p>
    <w:p w:rsidR="00000000" w:rsidDel="00000000" w:rsidP="00000000" w:rsidRDefault="00000000" w:rsidRPr="00000000" w14:paraId="000000A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ind w:left="1080" w:firstLine="0"/>
        <w:rPr>
          <w:sz w:val="22"/>
          <w:szCs w:val="22"/>
        </w:rPr>
      </w:pPr>
      <w:bookmarkStart w:colFirst="0" w:colLast="0" w:name="_z337ya"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A">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Coordenar o PCMSO visando à promoção e preservação da saúde dos servidores e magistrados;</w:t>
      </w:r>
    </w:p>
    <w:p w:rsidR="00000000" w:rsidDel="00000000" w:rsidP="00000000" w:rsidRDefault="00000000" w:rsidRPr="00000000" w14:paraId="000000AB">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os exames médicos previstos no PCMSO;</w:t>
      </w:r>
    </w:p>
    <w:p w:rsidR="00000000" w:rsidDel="00000000" w:rsidP="00000000" w:rsidRDefault="00000000" w:rsidRPr="00000000" w14:paraId="000000AC">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D">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Planejar, analisar, controlar e acompanhar o desenvolvimento do PCMSO;</w:t>
      </w:r>
    </w:p>
    <w:p w:rsidR="00000000" w:rsidDel="00000000" w:rsidP="00000000" w:rsidRDefault="00000000" w:rsidRPr="00000000" w14:paraId="000000AE">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medidas preventivas e corretivas relacionadas à saúde dos colaboradores;</w:t>
      </w:r>
    </w:p>
    <w:p w:rsidR="00000000" w:rsidDel="00000000" w:rsidP="00000000" w:rsidRDefault="00000000" w:rsidRPr="00000000" w14:paraId="000000AF">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Manter sigilo profissional em obediência à Ética Médica.</w:t>
      </w:r>
    </w:p>
    <w:p w:rsidR="00000000" w:rsidDel="00000000" w:rsidP="00000000" w:rsidRDefault="00000000" w:rsidRPr="00000000" w14:paraId="000000B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Style w:val="Heading2"/>
        <w:ind w:left="1080" w:firstLine="0"/>
        <w:rPr>
          <w:sz w:val="22"/>
          <w:szCs w:val="22"/>
        </w:rPr>
      </w:pPr>
      <w:bookmarkStart w:colFirst="0" w:colLast="0" w:name="_3j2qqm3"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2">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Médico designado para executar os exames previstos no PCMSO. Recebe instruções do Médico Coordenador;</w:t>
      </w:r>
    </w:p>
    <w:p w:rsidR="00000000" w:rsidDel="00000000" w:rsidP="00000000" w:rsidRDefault="00000000" w:rsidRPr="00000000" w14:paraId="000000B3">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4">
      <w:pPr>
        <w:numPr>
          <w:ilvl w:val="0"/>
          <w:numId w:val="6"/>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Guardar o sigilo, seguindo os preceitos da Ética Médica.</w:t>
      </w:r>
    </w:p>
    <w:p w:rsidR="00000000" w:rsidDel="00000000" w:rsidP="00000000" w:rsidRDefault="00000000" w:rsidRPr="00000000" w14:paraId="000000B5">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Style w:val="Heading2"/>
        <w:ind w:left="1080" w:firstLine="0"/>
        <w:rPr>
          <w:sz w:val="22"/>
          <w:szCs w:val="22"/>
        </w:rPr>
      </w:pPr>
      <w:bookmarkStart w:colFirst="0" w:colLast="0" w:name="_1y810tw"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7">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1"/>
          <w:numId w:val="8"/>
        </w:numPr>
        <w:rPr>
          <w:sz w:val="22"/>
          <w:szCs w:val="22"/>
        </w:rPr>
      </w:pPr>
      <w:bookmarkStart w:colFirst="0" w:colLast="0" w:name="_4d34og8" w:id="22"/>
      <w:bookmarkEnd w:id="22"/>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ind w:left="720" w:firstLine="0"/>
        <w:rPr>
          <w:sz w:val="22"/>
          <w:szCs w:val="22"/>
        </w:rPr>
      </w:pPr>
      <w:bookmarkStart w:colFirst="0" w:colLast="0" w:name="_vgaf4ufy0wvm" w:id="23"/>
      <w:bookmarkEnd w:id="23"/>
      <w:r w:rsidDel="00000000" w:rsidR="00000000" w:rsidRPr="00000000">
        <w:rPr>
          <w:sz w:val="22"/>
          <w:szCs w:val="22"/>
          <w:rtl w:val="0"/>
        </w:rPr>
        <w:t xml:space="preserve">7 VACINAÇÃO</w:t>
      </w:r>
    </w:p>
    <w:p w:rsidR="00000000" w:rsidDel="00000000" w:rsidP="00000000" w:rsidRDefault="00000000" w:rsidRPr="00000000" w14:paraId="000000BF">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0">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São obrigatórias as vacinas:</w:t>
      </w:r>
    </w:p>
    <w:p w:rsidR="00000000" w:rsidDel="00000000" w:rsidP="00000000" w:rsidRDefault="00000000" w:rsidRPr="00000000" w14:paraId="000000C1">
      <w:pPr>
        <w:numPr>
          <w:ilvl w:val="0"/>
          <w:numId w:val="1"/>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Dupla adulto – Difteria e Tétano (dT): Com reforço a cada dez anos;</w:t>
      </w:r>
    </w:p>
    <w:p w:rsidR="00000000" w:rsidDel="00000000" w:rsidP="00000000" w:rsidRDefault="00000000" w:rsidRPr="00000000" w14:paraId="000000C2">
      <w:pPr>
        <w:numPr>
          <w:ilvl w:val="0"/>
          <w:numId w:val="1"/>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3">
      <w:pPr>
        <w:numPr>
          <w:ilvl w:val="0"/>
          <w:numId w:val="1"/>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Influenza: Recomendada anualmente para profissionais de saúde;</w:t>
      </w:r>
    </w:p>
    <w:p w:rsidR="00000000" w:rsidDel="00000000" w:rsidP="00000000" w:rsidRDefault="00000000" w:rsidRPr="00000000" w14:paraId="000000C4">
      <w:pPr>
        <w:numPr>
          <w:ilvl w:val="0"/>
          <w:numId w:val="7"/>
        </w:numPr>
        <w:spacing w:after="57" w:before="57" w:line="360" w:lineRule="auto"/>
        <w:ind w:left="737"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5">
      <w:pPr>
        <w:spacing w:after="57" w:before="57" w:line="360" w:lineRule="auto"/>
        <w:ind w:left="73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7">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B">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D">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F">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5">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numPr>
          <w:ilvl w:val="0"/>
          <w:numId w:val="8"/>
        </w:numPr>
        <w:ind w:left="432" w:hanging="432"/>
        <w:rPr>
          <w:sz w:val="22"/>
          <w:szCs w:val="22"/>
        </w:rPr>
      </w:pPr>
      <w:bookmarkStart w:colFirst="0" w:colLast="0" w:name="_4i7ojhp"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tbl>
      <w:tblPr>
        <w:tblStyle w:val="Table4"/>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3"/>
        <w:tblGridChange w:id="0">
          <w:tblGrid>
            <w:gridCol w:w="1642"/>
            <w:gridCol w:w="817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SANTANA DE PARNAÍBA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00"/>
        <w:gridCol w:w="1845"/>
        <w:gridCol w:w="1485"/>
        <w:tblGridChange w:id="0">
          <w:tblGrid>
            <w:gridCol w:w="6300"/>
            <w:gridCol w:w="1845"/>
            <w:gridCol w:w="148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w:t>
            </w:r>
            <w:r w:rsidDel="00000000" w:rsidR="00000000" w:rsidRPr="00000000">
              <w:rPr>
                <w:rFonts w:ascii="Arial" w:cs="Arial" w:eastAsia="Arial" w:hAnsi="Arial"/>
                <w:sz w:val="22"/>
                <w:szCs w:val="22"/>
                <w:rtl w:val="0"/>
              </w:rPr>
              <w:t xml:space="preserve">9º, § 4º</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5º).</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w:t>
            </w:r>
            <w:r w:rsidDel="00000000" w:rsidR="00000000" w:rsidRPr="00000000">
              <w:rPr>
                <w:rFonts w:ascii="Arial" w:cs="Arial" w:eastAsia="Arial" w:hAnsi="Arial"/>
                <w:sz w:val="22"/>
                <w:szCs w:val="22"/>
                <w:rtl w:val="0"/>
              </w:rPr>
              <w:t xml:space="preserve">Observe-se que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rotineiras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SESMT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por mensagem eletrônica, telefone e também pessoalmente, por ocasião da realização do exame periódico com prévio agendamento.</w:t>
            </w:r>
          </w:p>
        </w:tc>
      </w:tr>
    </w:tbl>
    <w:p w:rsidR="00000000" w:rsidDel="00000000" w:rsidP="00000000" w:rsidRDefault="00000000" w:rsidRPr="00000000" w14:paraId="00000106">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numPr>
          <w:ilvl w:val="0"/>
          <w:numId w:val="8"/>
        </w:numPr>
        <w:ind w:left="432" w:hanging="432"/>
        <w:rPr>
          <w:sz w:val="22"/>
          <w:szCs w:val="22"/>
        </w:rPr>
      </w:pPr>
      <w:bookmarkStart w:colFirst="0" w:colLast="0" w:name="_2xcytpi" w:id="28"/>
      <w:bookmarkEnd w:id="28"/>
      <w:r w:rsidDel="00000000" w:rsidR="00000000" w:rsidRPr="00000000">
        <w:rPr>
          <w:smallCaps w:val="0"/>
          <w:color w:val="000000"/>
          <w:sz w:val="22"/>
          <w:szCs w:val="22"/>
          <w:rtl w:val="0"/>
        </w:rPr>
        <w:t xml:space="preserve">ANEXO II - ALTERAÇÕES NA ESTRUTURA ORGANIZACIONAL</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Santana do Parnaíba da Unidade de Apoio Operacional de Osasco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Subsolo/1º andar (Antigo Posto Avançado de Santana de Parnaíba do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realizada após as avaliações ambientais realizadas pela empresa Enfemed em Julho/2015. </w:t>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spacing w:line="360" w:lineRule="auto"/>
        <w:jc w:val="both"/>
        <w:rPr>
          <w:rFonts w:ascii="Arial" w:cs="Arial" w:eastAsia="Arial" w:hAnsi="Arial"/>
          <w:b w:val="1"/>
          <w:color w:val="000000"/>
          <w:sz w:val="22"/>
          <w:szCs w:val="22"/>
        </w:rPr>
      </w:pPr>
      <w:r w:rsidDel="00000000" w:rsidR="00000000" w:rsidRPr="00000000">
        <w:br w:type="page"/>
      </w:r>
      <w:r w:rsidDel="00000000" w:rsidR="00000000" w:rsidRPr="00000000">
        <w:rPr>
          <w:rtl w:val="0"/>
        </w:rPr>
      </w:r>
    </w:p>
    <w:tbl>
      <w:tblPr>
        <w:tblStyle w:val="Table7"/>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7">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8">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C">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6">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E">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F">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5">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8">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40.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