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25.0" w:type="dxa"/>
        <w:jc w:val="left"/>
        <w:tblInd w:w="1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5"/>
        <w:gridCol w:w="1590"/>
        <w:tblGridChange w:id="0">
          <w:tblGrid>
            <w:gridCol w:w="7935"/>
            <w:gridCol w:w="159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CUBATÃO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CUBATÃO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rPr>
          <w:rtl w:val="0"/>
        </w:rPr>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vz9qtoeo49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_9vz9qtoeo49r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sz w:val="22"/>
              <w:szCs w:val="22"/>
            </w:rPr>
          </w:pPr>
          <w:hyperlink w:anchor="_dnh466e95fuq">
            <w:r w:rsidDel="00000000" w:rsidR="00000000" w:rsidRPr="00000000">
              <w:rPr>
                <w:rFonts w:ascii="Arial" w:cs="Arial" w:eastAsia="Arial" w:hAnsi="Arial"/>
                <w:b w:val="1"/>
                <w:sz w:val="22"/>
                <w:szCs w:val="22"/>
                <w:rtl w:val="0"/>
              </w:rPr>
              <w:t xml:space="preserve">ANEXO II - ALTERAÇÕES NA ESTRUTURA ORGANIZACIONAL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_dnh466e95fuq \h </w:instrText>
            <w:fldChar w:fldCharType="separate"/>
          </w:r>
          <w:r w:rsidDel="00000000" w:rsidR="00000000" w:rsidRPr="00000000">
            <w:rPr>
              <w:rFonts w:ascii="Arial" w:cs="Arial" w:eastAsia="Arial" w:hAnsi="Arial"/>
              <w:b w:val="1"/>
              <w:sz w:val="22"/>
              <w:szCs w:val="22"/>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numPr>
          <w:ilvl w:val="0"/>
          <w:numId w:val="12"/>
        </w:numPr>
        <w:rPr>
          <w:rFonts w:ascii="Arial" w:cs="Arial" w:eastAsia="Arial" w:hAnsi="Arial"/>
          <w:b w:val="1"/>
          <w:sz w:val="22"/>
          <w:szCs w:val="22"/>
        </w:rPr>
      </w:pPr>
      <w:bookmarkStart w:colFirst="0" w:colLast="0" w:name="_gjdgxs"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Cubatão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José Maria Ruivo, 125, Centro, Cubatão/SP - CEP: 11533-</w:t>
            </w:r>
          </w:p>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070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3">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4">
      <w:pPr>
        <w:pStyle w:val="Heading1"/>
        <w:numPr>
          <w:ilvl w:val="1"/>
          <w:numId w:val="7"/>
        </w:numPr>
        <w:rPr>
          <w:sz w:val="22"/>
          <w:szCs w:val="22"/>
        </w:rPr>
      </w:pPr>
      <w:bookmarkStart w:colFirst="0" w:colLast="0" w:name="_9vz9qtoeo49r"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7"/>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7"/>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7"/>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7"/>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1"/>
        <w:numPr>
          <w:ilvl w:val="0"/>
          <w:numId w:val="7"/>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7"/>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7"/>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7"/>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7"/>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7"/>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pStyle w:val="Heading2"/>
        <w:numPr>
          <w:ilvl w:val="1"/>
          <w:numId w:val="7"/>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7"/>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7"/>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2"/>
        <w:numPr>
          <w:ilvl w:val="1"/>
          <w:numId w:val="7"/>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7"/>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7"/>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7"/>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7"/>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7"/>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7"/>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7"/>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1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1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1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A">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B">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pStyle w:val="Heading2"/>
        <w:numPr>
          <w:ilvl w:val="1"/>
          <w:numId w:val="7"/>
        </w:numPr>
        <w:ind w:left="576" w:hanging="576"/>
        <w:rPr>
          <w:sz w:val="22"/>
          <w:szCs w:val="22"/>
        </w:rPr>
      </w:pPr>
      <w:bookmarkStart w:colFirst="0" w:colLast="0" w:name="_1ci93xb" w:id="26"/>
      <w:bookmarkEnd w:id="26"/>
      <w:r w:rsidDel="00000000" w:rsidR="00000000" w:rsidRPr="00000000">
        <w:rPr>
          <w:sz w:val="22"/>
          <w:szCs w:val="22"/>
          <w:rtl w:val="0"/>
        </w:rPr>
        <w:tab/>
      </w:r>
    </w:p>
    <w:p w:rsidR="00000000" w:rsidDel="00000000" w:rsidP="00000000" w:rsidRDefault="00000000" w:rsidRPr="00000000" w14:paraId="000000DF">
      <w:pPr>
        <w:pStyle w:val="Heading2"/>
        <w:numPr>
          <w:ilvl w:val="1"/>
          <w:numId w:val="7"/>
        </w:numPr>
        <w:ind w:left="576" w:hanging="576"/>
        <w:rPr>
          <w:sz w:val="22"/>
          <w:szCs w:val="22"/>
        </w:rPr>
      </w:pPr>
      <w:bookmarkStart w:colFirst="0" w:colLast="0" w:name="_3whwml4" w:id="27"/>
      <w:bookmarkEnd w:id="27"/>
      <w:r w:rsidDel="00000000" w:rsidR="00000000" w:rsidRPr="00000000">
        <w:rPr>
          <w:sz w:val="22"/>
          <w:szCs w:val="22"/>
          <w:rtl w:val="0"/>
        </w:rPr>
        <w:tab/>
      </w:r>
    </w:p>
    <w:p w:rsidR="00000000" w:rsidDel="00000000" w:rsidP="00000000" w:rsidRDefault="00000000" w:rsidRPr="00000000" w14:paraId="000000E0">
      <w:pPr>
        <w:pStyle w:val="Heading2"/>
        <w:numPr>
          <w:ilvl w:val="1"/>
          <w:numId w:val="7"/>
        </w:numPr>
        <w:ind w:left="576" w:hanging="576"/>
        <w:rPr>
          <w:sz w:val="22"/>
          <w:szCs w:val="22"/>
        </w:rPr>
      </w:pPr>
      <w:bookmarkStart w:colFirst="0" w:colLast="0" w:name="_2bn6wsx" w:id="28"/>
      <w:bookmarkEnd w:id="28"/>
      <w:r w:rsidDel="00000000" w:rsidR="00000000" w:rsidRPr="00000000">
        <w:rPr>
          <w:sz w:val="22"/>
          <w:szCs w:val="22"/>
          <w:rtl w:val="0"/>
        </w:rPr>
        <w:tab/>
      </w:r>
    </w:p>
    <w:p w:rsidR="00000000" w:rsidDel="00000000" w:rsidP="00000000" w:rsidRDefault="00000000" w:rsidRPr="00000000" w14:paraId="000000E1">
      <w:pPr>
        <w:pStyle w:val="Heading2"/>
        <w:numPr>
          <w:ilvl w:val="1"/>
          <w:numId w:val="7"/>
        </w:numPr>
        <w:ind w:left="576" w:hanging="576"/>
        <w:rPr>
          <w:sz w:val="22"/>
          <w:szCs w:val="22"/>
        </w:rPr>
      </w:pPr>
      <w:bookmarkStart w:colFirst="0" w:colLast="0" w:name="_qsh70q" w:id="29"/>
      <w:bookmarkEnd w:id="29"/>
      <w:r w:rsidDel="00000000" w:rsidR="00000000" w:rsidRPr="00000000">
        <w:rPr>
          <w:sz w:val="22"/>
          <w:szCs w:val="22"/>
          <w:rtl w:val="0"/>
        </w:rPr>
        <w:tab/>
      </w:r>
    </w:p>
    <w:p w:rsidR="00000000" w:rsidDel="00000000" w:rsidP="00000000" w:rsidRDefault="00000000" w:rsidRPr="00000000" w14:paraId="000000E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E3">
      <w:pPr>
        <w:pStyle w:val="Heading1"/>
        <w:numPr>
          <w:ilvl w:val="0"/>
          <w:numId w:val="7"/>
        </w:numPr>
        <w:ind w:left="432" w:hanging="432"/>
        <w:rPr>
          <w:b w:val="0"/>
          <w:color w:val="000000"/>
          <w:sz w:val="22"/>
          <w:szCs w:val="22"/>
        </w:rPr>
      </w:pPr>
      <w:r w:rsidDel="00000000" w:rsidR="00000000" w:rsidRPr="00000000">
        <w:rPr>
          <w:rtl w:val="0"/>
        </w:rPr>
      </w:r>
    </w:p>
    <w:p w:rsidR="00000000" w:rsidDel="00000000" w:rsidP="00000000" w:rsidRDefault="00000000" w:rsidRPr="00000000" w14:paraId="000000E4">
      <w:pPr>
        <w:pStyle w:val="Heading2"/>
        <w:numPr>
          <w:ilvl w:val="1"/>
          <w:numId w:val="7"/>
        </w:numPr>
        <w:ind w:left="576" w:hanging="576"/>
        <w:rPr>
          <w:sz w:val="22"/>
          <w:szCs w:val="22"/>
        </w:rPr>
      </w:pPr>
      <w:bookmarkStart w:colFirst="0" w:colLast="0" w:name="_3as4poj" w:id="30"/>
      <w:bookmarkEnd w:id="30"/>
      <w:r w:rsidDel="00000000" w:rsidR="00000000" w:rsidRPr="00000000">
        <w:rPr>
          <w:sz w:val="22"/>
          <w:szCs w:val="22"/>
          <w:rtl w:val="0"/>
        </w:rPr>
        <w:tab/>
      </w:r>
    </w:p>
    <w:p w:rsidR="00000000" w:rsidDel="00000000" w:rsidP="00000000" w:rsidRDefault="00000000" w:rsidRPr="00000000" w14:paraId="000000E5">
      <w:pPr>
        <w:pStyle w:val="Heading2"/>
        <w:numPr>
          <w:ilvl w:val="1"/>
          <w:numId w:val="7"/>
        </w:numPr>
        <w:ind w:left="576" w:hanging="576"/>
        <w:rPr>
          <w:sz w:val="22"/>
          <w:szCs w:val="22"/>
        </w:rPr>
      </w:pPr>
      <w:r w:rsidDel="00000000" w:rsidR="00000000" w:rsidRPr="00000000">
        <w:rPr>
          <w:sz w:val="22"/>
          <w:szCs w:val="22"/>
          <w:rtl w:val="0"/>
        </w:rPr>
        <w:tab/>
      </w:r>
    </w:p>
    <w:p w:rsidR="00000000" w:rsidDel="00000000" w:rsidP="00000000" w:rsidRDefault="00000000" w:rsidRPr="00000000" w14:paraId="000000E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spacing w:after="57" w:before="57" w:line="360" w:lineRule="auto"/>
        <w:ind w:left="737" w:firstLine="0"/>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1"/>
        <w:numPr>
          <w:ilvl w:val="0"/>
          <w:numId w:val="7"/>
        </w:numPr>
        <w:ind w:left="432" w:hanging="432"/>
        <w:rPr>
          <w:sz w:val="22"/>
          <w:szCs w:val="22"/>
        </w:rPr>
      </w:pPr>
      <w:bookmarkStart w:colFirst="0" w:colLast="0" w:name="_1pxezwc" w:id="31"/>
      <w:bookmarkEnd w:id="31"/>
      <w:r w:rsidDel="00000000" w:rsidR="00000000" w:rsidRPr="00000000">
        <w:rPr>
          <w:sz w:val="22"/>
          <w:szCs w:val="22"/>
          <w:rtl w:val="0"/>
        </w:rPr>
        <w:t xml:space="preserve">ANEXO I – TABELAS DE RISCOS: </w:t>
      </w:r>
    </w:p>
    <w:p w:rsidR="00000000" w:rsidDel="00000000" w:rsidP="00000000" w:rsidRDefault="00000000" w:rsidRPr="00000000" w14:paraId="000000E9">
      <w:pPr>
        <w:spacing w:line="360" w:lineRule="auto"/>
        <w:jc w:val="both"/>
        <w:rPr>
          <w:rFonts w:ascii="Arial" w:cs="Arial" w:eastAsia="Arial" w:hAnsi="Arial"/>
          <w:b w:val="1"/>
          <w:sz w:val="22"/>
          <w:szCs w:val="22"/>
        </w:rPr>
      </w:pPr>
      <w:r w:rsidDel="00000000" w:rsidR="00000000" w:rsidRPr="00000000">
        <w:rPr>
          <w:rtl w:val="0"/>
        </w:rPr>
      </w:r>
    </w:p>
    <w:tbl>
      <w:tblPr>
        <w:tblStyle w:val="Table4"/>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3"/>
        <w:tblGridChange w:id="0">
          <w:tblGrid>
            <w:gridCol w:w="1642"/>
            <w:gridCol w:w="814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DE CUBATÃO DA UNIDADE DE APOIO OPERACIONAL DA</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BAIXADA 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F">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F0">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F1">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1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1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1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1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1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1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tbl>
      <w:tblPr>
        <w:tblStyle w:val="Table6"/>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ADMINISTRAÇÃO PREDIAL - CIRCUNSCRIÇÃO DA BAIXADA</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4">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15">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1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tbl>
      <w:tblPr>
        <w:tblStyle w:val="Table7"/>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CENTRO JUDICIÁRIO DE SOLUÇÃO DE DISPUTAS - BAIXADA 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D">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1E">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1F">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tbl>
      <w:tblPr>
        <w:tblStyle w:val="Table8"/>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3"/>
        <w:tblGridChange w:id="0">
          <w:tblGrid>
            <w:gridCol w:w="1642"/>
            <w:gridCol w:w="814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CUBATÃO (2ª, 4ª e 5ª)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2E">
      <w:pPr>
        <w:spacing w:line="360" w:lineRule="auto"/>
        <w:jc w:val="both"/>
        <w:rPr>
          <w:rFonts w:ascii="Arial" w:cs="Arial" w:eastAsia="Arial" w:hAnsi="Arial"/>
          <w:b w:val="1"/>
          <w:sz w:val="22"/>
          <w:szCs w:val="22"/>
        </w:rPr>
      </w:pPr>
      <w:r w:rsidDel="00000000" w:rsidR="00000000" w:rsidRPr="00000000">
        <w:rPr>
          <w:rtl w:val="0"/>
        </w:rPr>
      </w:r>
    </w:p>
    <w:tbl>
      <w:tblPr>
        <w:tblStyle w:val="Table9"/>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640"/>
        <w:gridCol w:w="2040"/>
        <w:gridCol w:w="1950"/>
        <w:tblGridChange w:id="0">
          <w:tblGrid>
            <w:gridCol w:w="5640"/>
            <w:gridCol w:w="2040"/>
            <w:gridCol w:w="195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4B">
      <w:pPr>
        <w:pStyle w:val="Heading1"/>
        <w:numPr>
          <w:ilvl w:val="0"/>
          <w:numId w:val="7"/>
        </w:numPr>
        <w:ind w:left="432" w:hanging="432"/>
        <w:rPr>
          <w:sz w:val="22"/>
          <w:szCs w:val="22"/>
        </w:rPr>
      </w:pPr>
      <w:bookmarkStart w:colFirst="0" w:colLast="0" w:name="_49x2ik5" w:id="32"/>
      <w:bookmarkEnd w:id="32"/>
      <w:r w:rsidDel="00000000" w:rsidR="00000000" w:rsidRPr="00000000">
        <w:br w:type="page"/>
      </w:r>
      <w:r w:rsidDel="00000000" w:rsidR="00000000" w:rsidRPr="00000000">
        <w:rPr>
          <w:rtl w:val="0"/>
        </w:rPr>
      </w:r>
    </w:p>
    <w:p w:rsidR="00000000" w:rsidDel="00000000" w:rsidP="00000000" w:rsidRDefault="00000000" w:rsidRPr="00000000" w14:paraId="0000014C">
      <w:pPr>
        <w:pStyle w:val="Heading1"/>
        <w:numPr>
          <w:ilvl w:val="0"/>
          <w:numId w:val="7"/>
        </w:numPr>
        <w:ind w:left="432" w:hanging="432"/>
        <w:rPr>
          <w:sz w:val="22"/>
          <w:szCs w:val="22"/>
        </w:rPr>
      </w:pPr>
      <w:bookmarkStart w:colFirst="0" w:colLast="0" w:name="_dnh466e95fuq" w:id="33"/>
      <w:bookmarkEnd w:id="33"/>
      <w:r w:rsidDel="00000000" w:rsidR="00000000" w:rsidRPr="00000000">
        <w:rPr>
          <w:smallCaps w:val="0"/>
          <w:color w:val="000000"/>
          <w:sz w:val="22"/>
          <w:szCs w:val="22"/>
          <w:rtl w:val="0"/>
        </w:rPr>
        <w:t xml:space="preserve">ANEXO II - ALTERAÇÕES NA ESTRUTURA ORGANIZACIONAL</w:t>
      </w:r>
      <w:r w:rsidDel="00000000" w:rsidR="00000000" w:rsidRPr="00000000">
        <w:rPr>
          <w:rtl w:val="0"/>
        </w:rPr>
      </w:r>
    </w:p>
    <w:p w:rsidR="00000000" w:rsidDel="00000000" w:rsidP="00000000" w:rsidRDefault="00000000" w:rsidRPr="00000000" w14:paraId="0000014D">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10"/>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Cubatão da Unidade de Apoio Operacional da Baixada Santista</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Posto Avançado de Santos do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Polícia Institucional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²</w:t>
            </w:r>
            <w:r w:rsidDel="00000000" w:rsidR="00000000" w:rsidRPr="00000000">
              <w:rPr>
                <w:rtl w:val="0"/>
              </w:rPr>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Centro Judiciário de Solução de Disputas - Baixada Santista</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1º andar</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gridSpan w:val="3"/>
            <w:tcBorders>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ocorrida após as avaliações ambientais efetuadas pela empresa Enfemed em Março/2015.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²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criada após as avaliações ambientais efetuadas pela empresa Enfemed em Março/2015. </w:t>
            </w:r>
          </w:p>
        </w:tc>
      </w:tr>
    </w:tbl>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11"/>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63">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64">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6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6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6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6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7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7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7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78">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7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8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8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82">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128400</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128400</wp:posOffset>
              </wp:positionV>
              <wp:extent cx="12700" cy="57213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5"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9D">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9E">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9F">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5.png"/>
          <a:graphic>
            <a:graphicData uri="http://schemas.openxmlformats.org/drawingml/2006/picture">
              <pic:pic>
                <pic:nvPicPr>
                  <pic:cNvPr id="0" name="image5.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8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8">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89">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8C">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00" w:before="100" w:line="240" w:lineRule="auto"/>
      <w:ind w:left="-142" w:right="0" w:firstLine="284"/>
      <w:jc w:val="center"/>
      <w:rPr>
        <w:rFonts w:ascii="Courier New" w:cs="Courier New" w:eastAsia="Courier New" w:hAnsi="Courier New"/>
        <w:b w:val="1"/>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5.png"/>
          <a:graphic>
            <a:graphicData uri="http://schemas.openxmlformats.org/drawingml/2006/picture">
              <pic:pic>
                <pic:nvPicPr>
                  <pic:cNvPr id="0" name="image5.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8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3">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firstLine="0"/>
      <w:jc w:val="center"/>
      <w:rPr>
        <w:rFonts w:ascii="Arial" w:cs="Arial" w:eastAsia="Arial" w:hAnsi="Arial"/>
        <w:b w:val="0"/>
        <w:sz w:val="18"/>
        <w:szCs w:val="18"/>
      </w:rPr>
    </w:pPr>
    <w:r w:rsidDel="00000000" w:rsidR="00000000" w:rsidRPr="00000000">
      <w:rPr>
        <w:rFonts w:ascii="Arial" w:cs="Arial" w:eastAsia="Arial" w:hAnsi="Arial"/>
        <w:sz w:val="18"/>
        <w:szCs w:val="18"/>
        <w:rtl w:val="0"/>
      </w:rPr>
      <w:t xml:space="preserve">JUSTIÇA DO TRABALHO</w:t>
    </w: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97">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7.0" w:type="dxa"/>
        <w:left w:w="42.0" w:type="dxa"/>
        <w:bottom w:w="57.0" w:type="dxa"/>
        <w:right w:w="57.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55.0" w:type="dxa"/>
        <w:left w:w="40.0" w:type="dxa"/>
        <w:bottom w:w="55.0" w:type="dxa"/>
        <w:right w:w="55.0" w:type="dxa"/>
      </w:tblCellMar>
    </w:tblPr>
  </w:style>
  <w:style w:type="table" w:styleId="Table11">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